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92E90">
      <w:pPr>
        <w:pStyle w:val="26"/>
        <w:framePr w:wrap="around"/>
      </w:pPr>
      <w:r>
        <w:rPr>
          <w:rFonts w:ascii="Times New Roman"/>
          <w:b/>
        </w:rPr>
        <w:t>ICS</w:t>
      </w:r>
      <w:r>
        <w:rPr>
          <w:rFonts w:hint="eastAsia" w:ascii="MS Mincho" w:hAnsi="MS Mincho" w:eastAsia="MS Mincho" w:cs="MS Mincho"/>
        </w:rPr>
        <w:t> </w:t>
      </w:r>
      <w:r>
        <w:rPr>
          <w:rFonts w:hint="eastAsia"/>
        </w:rPr>
        <w:t>XXXXXXX</w:t>
      </w:r>
    </w:p>
    <w:p w14:paraId="0F2F626E">
      <w:pPr>
        <w:pStyle w:val="26"/>
        <w:framePr w:wrap="around"/>
      </w:pPr>
      <w:r>
        <w:rPr>
          <w:rFonts w:ascii="Times New Roman"/>
          <w:b/>
        </w:rPr>
        <w:t>Z</w:t>
      </w:r>
      <w:r>
        <w:rPr>
          <w:rFonts w:hint="eastAsia"/>
        </w:rPr>
        <w:t xml:space="preserve"> 05</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70491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69DFF984">
            <w:pPr>
              <w:pStyle w:val="26"/>
              <w:framePr w:wrap="around"/>
            </w:pPr>
            <w:r>
              <mc:AlternateContent>
                <mc:Choice Requires="wps">
                  <w:drawing>
                    <wp:anchor distT="0" distB="0" distL="114300" distR="114300" simplePos="0" relativeHeight="251665408"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5107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noYyHSECAAA1BAAADgAAAGRycy9lMm9Eb2MueG1srVPBjtMw&#10;EL0j8Q+W7zRN1W13o6arVasipAVWWvgA13EaC8djxm7T8jNI3PgIPgfxG4ydtpTlsgdyiDyemed5&#10;z8+z231r2E6h12BLng+GnCkrodJ2U/KPH1avrjnzQdhKGLCq5Afl+e385YtZ5wo1ggZMpZARiPVF&#10;50rehOCKLPOyUa3wA3DKUrIGbEWgEDdZhaIj9NZko+FwknWAlUOQynvaXfZJfkTE5wBCXWupliC3&#10;rbKhR0VlRCBKvtHO83matq6VDO/r2qvATMmJaUh/OoTW6/jP5jNRbFC4RsvjCOI5Izzh1Apt6dAz&#10;1FIEwbao/4FqtUTwUIeBhDbriSRFiEU+fKLNYyOcSlxIau/Oovv/Byvf7R6Q6YqckHNmRUs3/uvr&#10;958/vjHaIHU65wsqenQPGPl5dw/yk2cWFo2wG3WHCF2jREUzpfrsr4YYeGpl6+4tVIQttgGSUPsa&#10;2whIErB9uo/D+T7UPjBJm9eTyXR6xZmkVH5znY/SfWWiODU79OG1gpbFRcmRrjuBi929DzQ8lZ5K&#10;0vBgdLXSxqQAN+uFQbYTZI1V+iJfavGXZcbGYguxrU/3OyqZ63jMiWYv1xqqA1FG6N1Gb40WDeAX&#10;zjpyWsn9561AxZl5Y0m2m3w8jtZMwfhqSiwZXmbWlxlhJUGVPHDWLxeht/PWod40dFKeJLBwR1LX&#10;OskQ5+unIoIxIDclqkfnR7texqnqz2uf/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Iri/s1QAA&#10;AAcBAAAPAAAAAAAAAAEAIAAAACIAAABkcnMvZG93bnJldi54bWxQSwECFAAUAAAACACHTuJAnoYy&#10;HSECAAA1BAAADgAAAAAAAAABACAAAAAkAQAAZHJzL2Uyb0RvYy54bWxQSwUGAAAAAAYABgBZAQAA&#10;twUAAAAA&#10;">
                      <v:fill on="t" focussize="0,0"/>
                      <v:stroke on="f"/>
                      <v:imagedata o:title=""/>
                      <o:lock v:ext="edit" aspectratio="f"/>
                    </v:rect>
                  </w:pict>
                </mc:Fallback>
              </mc:AlternateContent>
            </w:r>
          </w:p>
        </w:tc>
      </w:tr>
    </w:tbl>
    <w:p w14:paraId="3FF079E3">
      <w:pPr>
        <w:pStyle w:val="27"/>
        <w:framePr w:wrap="around"/>
      </w:pPr>
      <w:r>
        <w:t>DB</w:t>
      </w:r>
      <w:r>
        <w:rPr>
          <w:rFonts w:hint="eastAsia"/>
        </w:rPr>
        <w:t>42</w:t>
      </w:r>
    </w:p>
    <w:p w14:paraId="2110DD69">
      <w:pPr>
        <w:pStyle w:val="29"/>
        <w:framePr w:wrap="around"/>
      </w:pPr>
      <w:bookmarkStart w:id="0" w:name="c4"/>
      <w:r>
        <w:fldChar w:fldCharType="begin">
          <w:ffData>
            <w:name w:val="c4"/>
            <w:enabled/>
            <w:calcOnExit w:val="0"/>
            <w:textInput/>
          </w:ffData>
        </w:fldChar>
      </w:r>
      <w:r>
        <w:instrText xml:space="preserve"> FORMTEXT </w:instrText>
      </w:r>
      <w:r>
        <w:fldChar w:fldCharType="separate"/>
      </w:r>
      <w:r>
        <w:rPr>
          <w:rFonts w:hint="eastAsia"/>
        </w:rPr>
        <w:t>湖北省</w:t>
      </w:r>
      <w:r>
        <w:fldChar w:fldCharType="end"/>
      </w:r>
      <w:bookmarkEnd w:id="0"/>
      <w:r>
        <w:rPr>
          <w:rFonts w:hint="eastAsia"/>
        </w:rPr>
        <w:t>地方标准</w:t>
      </w:r>
    </w:p>
    <w:p w14:paraId="029F211F">
      <w:pPr>
        <w:pStyle w:val="30"/>
        <w:framePr w:wrap="around"/>
        <w:rPr>
          <w:rFonts w:hint="eastAsia" w:ascii="黑体" w:hAnsi="黑体" w:eastAsia="黑体" w:cs="黑体"/>
        </w:rPr>
      </w:pPr>
      <w:r>
        <w:rPr>
          <w:rFonts w:hint="eastAsia" w:ascii="黑体" w:hAnsi="黑体" w:eastAsia="黑体" w:cs="黑体"/>
        </w:rPr>
        <w:t>DB</w:t>
      </w:r>
      <w:bookmarkStart w:id="1" w:name="StdNo0"/>
      <w:r>
        <w:rPr>
          <w:rFonts w:hint="eastAsia" w:ascii="黑体" w:hAnsi="黑体" w:eastAsia="黑体" w:cs="黑体"/>
        </w:rPr>
        <w:fldChar w:fldCharType="begin">
          <w:ffData>
            <w:name w:val="StdNo0"/>
            <w:enabled/>
            <w:calcOnExit w:val="0"/>
            <w:textInput>
              <w:default w:val="XX"/>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42</w:t>
      </w:r>
      <w:r>
        <w:rPr>
          <w:rFonts w:hint="eastAsia" w:ascii="黑体" w:hAnsi="黑体" w:eastAsia="黑体" w:cs="黑体"/>
        </w:rPr>
        <w:fldChar w:fldCharType="end"/>
      </w:r>
      <w:bookmarkEnd w:id="1"/>
      <w:r>
        <w:rPr>
          <w:rFonts w:hint="eastAsia" w:ascii="黑体" w:hAnsi="黑体" w:eastAsia="黑体" w:cs="黑体"/>
        </w:rPr>
        <w:t>/</w:t>
      </w:r>
      <w:bookmarkStart w:id="2" w:name="StdNo1"/>
      <w:r>
        <w:rPr>
          <w:rFonts w:hint="eastAsia" w:ascii="黑体" w:hAnsi="黑体" w:eastAsia="黑体" w:cs="黑体"/>
        </w:rPr>
        <w:fldChar w:fldCharType="begin">
          <w:ffData>
            <w:name w:val="StdNo1"/>
            <w:enabled/>
            <w:calcOnExit w:val="0"/>
            <w:textInput>
              <w:default w:val="XXXXX"/>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T</w:t>
      </w:r>
      <w:r>
        <w:rPr>
          <w:rFonts w:hint="eastAsia" w:ascii="黑体" w:hAnsi="黑体" w:eastAsia="黑体" w:cs="黑体"/>
        </w:rPr>
        <w:fldChar w:fldCharType="end"/>
      </w:r>
      <w:bookmarkEnd w:id="2"/>
      <w:r>
        <w:rPr>
          <w:rFonts w:hint="eastAsia" w:ascii="黑体" w:hAnsi="黑体" w:eastAsia="黑体" w:cs="黑体"/>
        </w:rPr>
        <w:t xml:space="preserve"> XXXX</w:t>
      </w:r>
      <w:r>
        <w:rPr>
          <w:rFonts w:hint="eastAsia" w:ascii="黑体" w:hAnsi="黑体" w:eastAsia="黑体" w:cs="黑体"/>
          <w:lang w:val="en-US" w:eastAsia="zh-CN"/>
        </w:rPr>
        <w:t>.1</w:t>
      </w:r>
      <w:r>
        <w:rPr>
          <w:rFonts w:hint="eastAsia" w:ascii="黑体" w:hAnsi="黑体" w:eastAsia="黑体" w:cs="黑体"/>
        </w:rPr>
        <w:t>—XXXX</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0D8C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22A7C0E7">
            <w:pPr>
              <w:pStyle w:val="31"/>
              <w:framePr w:wrap="around"/>
            </w:pPr>
            <w:bookmarkStart w:id="3" w:name="DT"/>
            <w: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R/6nscAgAANAQAAA4AAABkcnMvZTJvRG9jLnhtbK1TwY7T&#10;MBC9I/EPlu80SSlLiZquVq2KkBZYaeEDXMdJLBKPGbtNy88gceMj+BzEbzB20lKWyx7IIZrxjN/M&#10;ezNeXB+6lu0VOg2m4Nkk5UwZCaU2dcE/ftg8m3PmvDClaMGogh+V49fLp08Wvc3VFBpoS4WMQIzL&#10;e1vwxnubJ4mTjeqEm4BVhoIVYCc8uVgnJYqe0Ls2mabpVdIDlhZBKufodD0E+YiIjwGEqtJSrUHu&#10;OmX8gIqqFZ4ouUZbx5ex26pS0r+vKqc8awtOTH38UxGyt+GfLBcir1HYRsuxBfGYFh5w6oQ2VPQM&#10;tRZesB3qf6A6LREcVH4ioUsGIlERYpGlD7S5b4RVkQtJ7exZdPf/YOW7/R0yXRacxm5ERwP/9fX7&#10;zx/f2Dxo01uXU8q9vcPAztlbkJ8cM7BqhKnVDSL0jRIldZSF/OSvC8FxdJVt+7dQErTYeYgyHSrs&#10;AiAJwA5xGsfzNNTBM0mHWTZ7nqY0KEmx6XR+RXYoIfLTbYvOv1bQsWAUHGnaEV3sb50fUk8psXto&#10;dbnRbRsdrLerFtle0GZs4jeiu8u01oRkA+HagDicqLhbY5kTz0GvLZRH4owwLBs9NTIawC+c9bRo&#10;BXefdwIVZ+0bQ7q9ymazsJnRmb14OSUHLyPby4gwkqAK7jkbzJUftnlnUdcNVcqiBAZuSOtKRxlC&#10;f0NX44RomaKQ4+KHbb30Y9afx778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5g8svWAAAACAEA&#10;AA8AAAAAAAAAAQAgAAAAIgAAAGRycy9kb3ducmV2LnhtbFBLAQIUABQAAAAIAIdO4kD0f+p7HAIA&#10;ADQEAAAOAAAAAAAAAAEAIAAAACUBAABkcnMvZTJvRG9jLnhtbFBLBQYAAAAABgAGAFkBAACzBQAA&#10;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3"/>
          </w:p>
        </w:tc>
      </w:tr>
    </w:tbl>
    <w:p w14:paraId="0F123F9C">
      <w:pPr>
        <w:pStyle w:val="30"/>
        <w:framePr w:wrap="around"/>
        <w:rPr>
          <w:rFonts w:hAnsi="黑体"/>
        </w:rPr>
      </w:pPr>
    </w:p>
    <w:p w14:paraId="004B6BFB">
      <w:pPr>
        <w:pStyle w:val="30"/>
        <w:framePr w:wrap="around"/>
        <w:rPr>
          <w:rFonts w:hAnsi="黑体"/>
        </w:rPr>
      </w:pPr>
    </w:p>
    <w:p w14:paraId="6881933F">
      <w:pPr>
        <w:pStyle w:val="25"/>
        <w:framePr w:wrap="around" w:x="1117" w:y="6391"/>
      </w:pPr>
      <w:r>
        <w:rPr>
          <w:rFonts w:hint="eastAsia"/>
        </w:rPr>
        <w:t>生态环境监测安全管理技术规范</w:t>
      </w:r>
    </w:p>
    <w:p w14:paraId="6CE3E349">
      <w:pPr>
        <w:pStyle w:val="25"/>
        <w:framePr w:wrap="around" w:x="1117" w:y="6391"/>
      </w:pPr>
      <w:r>
        <w:rPr>
          <w:rFonts w:hint="eastAsia"/>
        </w:rPr>
        <w:t xml:space="preserve"> 第1部分：总则</w:t>
      </w:r>
    </w:p>
    <w:p w14:paraId="15785325">
      <w:pPr>
        <w:pStyle w:val="24"/>
        <w:framePr w:wrap="around" w:x="1117" w:y="6391"/>
        <w:rPr>
          <w:rFonts w:hint="eastAsia" w:ascii="黑体" w:hAnsi="黑体" w:eastAsia="黑体" w:cs="黑体"/>
        </w:rPr>
      </w:pPr>
      <w:r>
        <w:rPr>
          <w:rFonts w:hint="eastAsia" w:ascii="黑体" w:hAnsi="黑体" w:eastAsia="黑体" w:cs="黑体"/>
        </w:rPr>
        <w:t xml:space="preserve">Technical Specification for Safety Management of Ecological Environment Monitoring  </w:t>
      </w:r>
    </w:p>
    <w:p w14:paraId="46CD57D0">
      <w:pPr>
        <w:pStyle w:val="24"/>
        <w:framePr w:wrap="around" w:x="1117" w:y="6391"/>
        <w:spacing w:before="0"/>
      </w:pPr>
      <w:r>
        <w:rPr>
          <w:rFonts w:hint="eastAsia" w:ascii="黑体" w:hAnsi="黑体" w:eastAsia="黑体" w:cs="黑体"/>
        </w:rPr>
        <w:t>Part 1： General principles</w:t>
      </w:r>
    </w:p>
    <w:p w14:paraId="6E7BEE61">
      <w:pPr>
        <w:pStyle w:val="32"/>
        <w:framePr w:wrap="around" w:x="1117" w:y="6391"/>
        <w:rPr>
          <w:sz w:val="24"/>
          <w:szCs w:val="24"/>
        </w:rPr>
      </w:pPr>
      <w:r>
        <w:rPr>
          <w:sz w:val="24"/>
          <w:szCs w:val="24"/>
        </w:rPr>
        <w:fldChar w:fldCharType="begin">
          <w:ffData>
            <w:name w:val="YZBS"/>
            <w:enabled/>
            <w:calcOnExit w:val="0"/>
            <w:textInput>
              <w:default w:val="点击此处添加与国际标准一致性程度的标识"/>
            </w:textInput>
          </w:ffData>
        </w:fldChar>
      </w:r>
      <w:bookmarkStart w:id="4" w:name="YZBS"/>
      <w:r>
        <w:rPr>
          <w:sz w:val="24"/>
          <w:szCs w:val="24"/>
        </w:rPr>
        <w:instrText xml:space="preserve"> FORMTEXT </w:instrText>
      </w:r>
      <w:r>
        <w:rPr>
          <w:sz w:val="24"/>
          <w:szCs w:val="24"/>
        </w:rPr>
        <w:fldChar w:fldCharType="separate"/>
      </w:r>
      <w:r>
        <w:rPr>
          <w:rFonts w:hint="eastAsia"/>
          <w:sz w:val="24"/>
          <w:szCs w:val="24"/>
        </w:rPr>
        <w:t>点击此处添加与国际标准一致性程度的标识</w:t>
      </w:r>
      <w:r>
        <w:rPr>
          <w:sz w:val="24"/>
          <w:szCs w:val="24"/>
        </w:rPr>
        <w:fldChar w:fldCharType="end"/>
      </w:r>
      <w:bookmarkEnd w:id="4"/>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C8EE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14:paraId="71846102">
            <w:pPr>
              <w:pStyle w:val="33"/>
              <w:framePr w:wrap="around" w:x="1117" w:y="6391"/>
            </w:pPr>
            <w:r>
              <w:rPr>
                <w:rFonts w:hint="eastAsia"/>
              </w:rPr>
              <w:t>（</w:t>
            </w:r>
            <w:r>
              <w:rPr>
                <w:rFonts w:hint="eastAsia"/>
                <w:lang w:val="en-US" w:eastAsia="zh-CN"/>
              </w:rPr>
              <w:t>征求意见稿</w:t>
            </w:r>
            <w:r>
              <w:rPr>
                <w:rFonts w:hint="eastAsia"/>
              </w:rPr>
              <w:t>）</w:t>
            </w:r>
            <w:r>
              <mc:AlternateContent>
                <mc:Choice Requires="wps">
                  <w:drawing>
                    <wp:anchor distT="0" distB="0" distL="114300" distR="114300" simplePos="0" relativeHeight="251664384"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45.15pt;height:20pt;width:150pt;z-index:-25165209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pOD0RsCAAA0BAAADgAAAGRycy9lMm9Eb2MueG1srVPBjtMw&#10;EL0j8Q+W7zRJ1QIbNV2tWhUhLbDSwge4jpNYJB4zdpuWn0Hixkfs5yB+g7GTlrJc9kAO0Yxn/Gbe&#10;m/Hi+tC1bK/QaTAFzyYpZ8pIKLWpC/7p4+bFa86cF6YULRhV8KNy/Hr5/Nmit7maQgNtqZARiHF5&#10;bwveeG/zJHGyUZ1wE7DKULAC7IQnF+ukRNETetcm0zR9mfSApUWQyjk6XQ9BPiLiUwChqrRUa5C7&#10;Thk/oKJqhSdKrtHW8WXstqqU9B+qyinP2oITUx//VITsbfgny4XIaxS20XJsQTylhUecOqENFT1D&#10;rYUXbIf6H6hOSwQHlZ9I6JKBSFSEWGTpI23uG2FV5EJSO3sW3f0/WPl+f4dMlwWfc2ZERwP/9e3H&#10;z4fvbB606a3LKeXe3mFg5+wtyM+OGVg1wtTqBhH6RomSOspCfvLXheA4usq2/TsoCVrsPESZDhV2&#10;AZAEYIc4jeN5GurgmaTD7CqdpykNSlJsOp8FO5QQ+em2ReffKOhYMAqONO2ILva3zg+pp5TYPbS6&#10;3Oi2jQ7W21WLbC9oMzbxG9HdZVprQrKBcG1AHE5U3K2xzInnoNcWyiNxRhiWjZ4aGQ3gV856WrSC&#10;uy87gYqz9q0h3a6y2SxsZnRm81dTcvAysr2MCCMJquCes8Fc+WGbdxZ13VClLEpg4Ia0rnSUIfQ3&#10;dDVOiJYpCjkuftjWSz9m/Xnsy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Fia6S1QAAAAoBAAAP&#10;AAAAAAAAAAEAIAAAACIAAABkcnMvZG93bnJldi54bWxQSwECFAAUAAAACACHTuJAspOD0RsCAAA0&#10;BAAADgAAAAAAAAABACAAAAAkAQAAZHJzL2Uyb0RvYy54bWxQSwUGAAAAAAYABgBZAQAAsQUAAAAA&#10;">
                      <v:fill on="t" focussize="0,0"/>
                      <v:stroke on="f"/>
                      <v:imagedata o:title=""/>
                      <o:lock v:ext="edit" aspectratio="f"/>
                      <w10:anchorlock/>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3.3pt;margin-top:20.15pt;height:24pt;width:100pt;z-index:-251653120;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IRJFaUbAgAANAQAAA4AAABkcnMvZTJvRG9jLnhtbK1TwY7T&#10;MBC9I/EPlu80SSl0iZquVq2KkBZYaeEDXMdJLBKPGbtNy88gceMj+BzEbzB20lKWyx7IIZrxjN/M&#10;vHleXB+6lu0VOg2m4Nkk5UwZCaU2dcE/ftg8u+LMeWFK0YJRBT8qx6+XT58sepurKTTQlgoZgRiX&#10;97bgjfc2TxInG9UJNwGrDAUrwE54crFOShQ9oXdtMk3Tl0kPWFoEqZyj0/UQ5CMiPgYQqkpLtQa5&#10;65TxAyqqVngayTXaOr6M3VaVkv59VTnlWVtwmtTHPxUhexv+yXIh8hqFbbQcWxCPaeHBTJ3Qhoqe&#10;odbCC7ZD/Q9UpyWCg8pPJHTJMEhkhKbI0gfc3DfCqjgLUe3smXT3/2Dlu/0dMl0WfM6ZER0t/NfX&#10;7z9/fGPzwE1vXU4p9/YOw3TO3oL85JiBVSNMrW4QoW+UKKmjLOQnf10IjqOrbNu/hZKgxc5DpOlQ&#10;YRcAiQB2iNs4nrehDp5JOsym85Q+ziTFnqezK7JDCZGfblt0/rWCjgWj4Ejbjuhif+v8kHpKid1D&#10;q8uNbtvoYL1dtcj2gpSxid+I7i7TWhOSDYRrA+JwoqK2xjKnOQe+tlAeaWaEQWz01MhoAL9w1pPQ&#10;Cu4+7wQqzto3hnh7lc1mQZnRmb2YT8nBy8j2MiKMJKiCe84Gc+UHNe8s6rqhSlmkwMANcV3pSEPo&#10;b+hq3BCJKRI5Cj+o9dKPWX8e+/I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GL5dYAAAAJAQAA&#10;DwAAAAAAAAABACAAAAAiAAAAZHJzL2Rvd25yZXYueG1sUEsBAhQAFAAAAAgAh07iQIRJFaUbAgAA&#10;NAQAAA4AAAAAAAAAAQAgAAAAJQEAAGRycy9lMm9Eb2MueG1sUEsFBgAAAAAGAAYAWQEAALIFAAAA&#10;AA==&#10;">
                      <v:fill on="t" focussize="0,0"/>
                      <v:stroke on="f"/>
                      <v:imagedata o:title=""/>
                      <o:lock v:ext="edit" aspectratio="f"/>
                    </v:rect>
                  </w:pict>
                </mc:Fallback>
              </mc:AlternateContent>
            </w:r>
          </w:p>
        </w:tc>
      </w:tr>
      <w:tr w14:paraId="55338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C0CE001">
            <w:pPr>
              <w:pStyle w:val="34"/>
              <w:framePr w:wrap="around" w:x="1117" w:y="6391"/>
            </w:pPr>
            <w:bookmarkStart w:id="5" w:name="WCRQ"/>
            <w:r>
              <w:fldChar w:fldCharType="begin">
                <w:ffData>
                  <w:name w:val="WCRQ"/>
                  <w:enabled/>
                  <w:calcOnExit w:val="0"/>
                  <w:textInput/>
                </w:ffData>
              </w:fldChar>
            </w:r>
            <w:r>
              <w:instrText xml:space="preserve"> FORMTEXT </w:instrText>
            </w:r>
            <w:r>
              <w:fldChar w:fldCharType="separate"/>
            </w:r>
            <w:r>
              <w:t>     </w:t>
            </w:r>
            <w:r>
              <w:fldChar w:fldCharType="end"/>
            </w:r>
            <w:bookmarkEnd w:id="5"/>
          </w:p>
        </w:tc>
      </w:tr>
    </w:tbl>
    <w:p w14:paraId="0220AAC3">
      <w:pPr>
        <w:pStyle w:val="35"/>
        <w:framePr w:wrap="around" w:hAnchor="page" w:x="1531" w:y="14071"/>
        <w:ind w:firstLine="140" w:firstLineChars="50"/>
      </w:pPr>
      <w:r>
        <w:rPr>
          <w:rFonts w:ascii="黑体"/>
        </w:rPr>
        <w:t>XXXX-XX-XX</w:t>
      </w:r>
      <w:r>
        <w:rPr>
          <w:rFonts w:hint="eastAsia"/>
        </w:rPr>
        <w:t>发布</w:t>
      </w:r>
    </w:p>
    <w:p w14:paraId="5DC5E74E">
      <w:pPr>
        <w:pStyle w:val="37"/>
        <w:framePr w:wrap="around" w:hAnchor="page" w:x="7291"/>
        <w:ind w:right="140"/>
      </w:pPr>
      <w:r>
        <w:rPr>
          <w:rFonts w:ascii="黑体"/>
        </w:rPr>
        <w:t>XXXX-XX-XX</w:t>
      </w:r>
      <w:r>
        <w:rPr>
          <w:rFonts w:hint="eastAsia"/>
        </w:rPr>
        <w:t>实施</w:t>
      </w:r>
    </w:p>
    <w:p w14:paraId="7C7BB343">
      <w:pPr>
        <w:pStyle w:val="39"/>
        <w:framePr w:h="1523" w:hRule="exact" w:wrap="around" w:x="2381" w:y="14926"/>
        <w:rPr>
          <w:rFonts w:hint="default"/>
          <w:sz w:val="24"/>
          <w:szCs w:val="24"/>
          <w:lang w:val="en-US" w:eastAsia="zh-CN"/>
        </w:rPr>
      </w:pPr>
      <w:r>
        <w:rPr>
          <w:rFonts w:hint="eastAsia"/>
          <w:lang w:val="en-US" w:eastAsia="zh-CN"/>
        </w:rPr>
        <w:t xml:space="preserve">         </w:t>
      </w:r>
      <w:r>
        <w:rPr>
          <w:rFonts w:hint="eastAsia"/>
          <w:sz w:val="24"/>
          <w:szCs w:val="24"/>
          <w:lang w:val="en-US" w:eastAsia="zh-CN"/>
        </w:rPr>
        <w:t>湖 北 省 生 态环境厅   联合发布</w:t>
      </w:r>
    </w:p>
    <w:p w14:paraId="7D14F02E">
      <w:pPr>
        <w:pStyle w:val="39"/>
        <w:framePr w:h="1523" w:hRule="exact" w:wrap="around" w:x="2381" w:y="14926"/>
        <w:rPr>
          <w:rFonts w:hint="default"/>
          <w:sz w:val="24"/>
          <w:szCs w:val="24"/>
          <w:lang w:val="en-US" w:eastAsia="zh-CN"/>
        </w:rPr>
      </w:pPr>
      <w:r>
        <w:rPr>
          <w:rFonts w:hint="eastAsia"/>
          <w:sz w:val="24"/>
          <w:szCs w:val="24"/>
          <w:lang w:val="en-US" w:eastAsia="zh-CN"/>
        </w:rPr>
        <w:t>湖北省市场监督管理局</w:t>
      </w:r>
    </w:p>
    <w:p w14:paraId="0E6B4A57">
      <w:pPr>
        <w:pStyle w:val="41"/>
        <w:sectPr>
          <w:headerReference r:id="rId3" w:type="even"/>
          <w:footerReference r:id="rId4" w:type="even"/>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1312" behindDoc="0" locked="0" layoutInCell="1" allowOverlap="1">
                <wp:simplePos x="0" y="0"/>
                <wp:positionH relativeFrom="column">
                  <wp:posOffset>85090</wp:posOffset>
                </wp:positionH>
                <wp:positionV relativeFrom="paragraph">
                  <wp:posOffset>8993505</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7pt;margin-top:708.15pt;height:0pt;width:481.9pt;z-index:251661312;mso-width-relative:page;mso-height-relative:page;" filled="f" stroked="t" coordsize="21600,21600" o:gfxdata="UEsDBAoAAAAAAIdO4kAAAAAAAAAAAAAAAAAEAAAAZHJzL1BLAwQUAAAACACHTuJAAcS8L9cAAAAM&#10;AQAADwAAAGRycy9kb3ducmV2LnhtbE2PS0/DQAyE70j8h5WRuFR086haCNn0AOTGhQLi6mZNEpH1&#10;ptntA3495oDgZI09Gn9Trk9uUAeaQu/ZQDpPQBE33vbcGnh5rq+uQYWIbHHwTAY+KcC6Oj8rsbD+&#10;yE902MRWSQiHAg10MY6F1qHpyGGY+5FYbu9+chhFTq22Ex4l3A06S5KldtizfOhwpLuOmo/N3hkI&#10;9Svt6q9ZM0ve8tZTtrt/fEBjLi/S5BZUpFP8M8MPvqBDJUxbv2cb1CA6X4hT5iJd5qDEcbNaZaC2&#10;vytdlfp/ieobUEsDBBQAAAAIAIdO4kB6XewO6QEAALoDAAAOAAAAZHJzL2Uyb0RvYy54bWytU82O&#10;0zAQviPxDpbvNG3RriBquodWy2WBSrs8gOs4jYXtsTxuk74EL4DEDU4cufM2uzwGY7cp+3PZAzlY&#10;Hs/MN/N9M5ld9NawnQqowVV8MhpzppyEWrtNxT/dXL56wxlG4WphwKmK7xXyi/nLF7POl2oKLZha&#10;BUYgDsvOV7yN0ZdFgbJVVuAIvHLkbCBYEckMm6IOoiN0a4rpeHxedBBqH0AqRHpdHpz8iBieAwhN&#10;o6Vagtxa5eIBNSgjIlHCVnvk89xt0ygZPzYNqshMxYlpzCcVofs6ncV8JspNEL7V8tiCeE4LjzhZ&#10;oR0VPUEtRRRsG/QTKKtlAIQmjiTY4kAkK0IsJuNH2ly3wqvMhaRGfxId/x+s/LBbBaZr2gSSxAlL&#10;E7/7+uv2y/c/v7/ReffzByMPydR5LCl64VYhEZW9u/ZXID8jc7Bohduo3O7N3hPEJGUUD1KSgZ6K&#10;rbv3UFOM2EbImvVNsAmS1GB9Hs3+NBrVRybp8XxC+rymFuXgK0Q5JPqA8Z0Cy9Kl4ka7pJooxe4K&#10;Y2pElENIenZwqY3JkzeOdRV/ezY9ywkIRtfJmcIwbNYLE9hOpN3JX2ZFnvthAbauPhQxLuWpvHbH&#10;ygPrg35rqPerMEhDI829Hdcv7cx9Owv475eb/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BxLwv&#10;1wAAAAwBAAAPAAAAAAAAAAEAIAAAACIAAABkcnMvZG93bnJldi54bWxQSwECFAAUAAAACACHTuJA&#10;el3sDukBAAC6AwAADgAAAAAAAAABACAAAAAmAQAAZHJzL2Uyb0RvYy54bWxQSwUGAAAAAAYABgBZ&#10;AQAAg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VYCx6AEAALgDAAAOAAAAZHJzL2Uyb0RvYy54bWytU81u&#10;EzEQviPxDpbvZJOgVnSVTQ+JyqVApJYHcLzeXQvbY3mc7OYleAEkbnDiyJ23oTwGY+eH0l566B4s&#10;j2fmm/m+mZ1dDtawrQqowVV8MhpzppyEWru24h9vr1694QyjcLUw4FTFdwr55fzli1nvSzWFDkyt&#10;AiMQh2XvK97F6MuiQNkpK3AEXjlyNhCsiGSGtqiD6AndmmI6Hp8XPYTaB5AKkV6Xeyc/IIanAELT&#10;aKmWIDdWubhHDcqISJSw0x75PHfbNErGD02DKjJTcWIa80lF6L5OZzGfibINwndaHloQT2nhAScr&#10;tKOiJ6iliIJtgn4EZbUMgNDEkQRb7IlkRYjFZPxAm5tOeJW5kNToT6Lj88HK99tVYLqu+AVnTlga&#10;+N2Xn78/f/vz6yuddz++s4skUu+xpNiFW4VEUw7uxl+D/ITMwaITrlW52dudJ4RJyij+S0kGeiq1&#10;7t9BTTFiEyErNjTBJkjSgg15MLvTYNQQmaTH8wmp85pmJo++QpTHRB8wvlVgWbpU3GiXNBOl2F5j&#10;TI2I8hiSnh1caWPy3I1jPRE/m57lBASj6+RMYRja9cIEthVpc/KXWZHnfliAjav3RYxLeSov3aHy&#10;kfVevzXUu1U4SkMDzb0dli9tzH07C/jvh5v/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JB4l/X&#10;AAAACQEAAA8AAAAAAAAAAQAgAAAAIgAAAGRycy9kb3ducmV2LnhtbFBLAQIUABQAAAAIAIdO4kC+&#10;VYCx6AEAALgDAAAOAAAAAAAAAAEAIAAAACYBAABkcnMvZTJvRG9jLnhtbFBLBQYAAAAABgAGAFkB&#10;AACABQAAAAA=&#10;">
                <v:fill on="f" focussize="0,0"/>
                <v:stroke color="#000000" joinstyle="round"/>
                <v:imagedata o:title=""/>
                <o:lock v:ext="edit" aspectratio="f"/>
              </v:line>
            </w:pict>
          </mc:Fallback>
        </mc:AlternateContent>
      </w:r>
    </w:p>
    <w:p w14:paraId="0AFB6FB0">
      <w:pPr>
        <w:pStyle w:val="42"/>
        <w:rPr>
          <w:rFonts w:hint="eastAsia" w:ascii="宋体" w:hAnsi="宋体" w:eastAsia="黑体" w:cs="宋体"/>
          <w:sz w:val="21"/>
          <w:szCs w:val="21"/>
          <w:lang w:val="en-US" w:eastAsia="zh-CN"/>
        </w:rPr>
      </w:pPr>
      <w:bookmarkStart w:id="6" w:name="_Toc20947"/>
      <w:bookmarkStart w:id="7" w:name="_Toc19556"/>
      <w:bookmarkStart w:id="8" w:name="_Toc1919"/>
      <w:bookmarkStart w:id="9" w:name="_Toc2938"/>
      <w:bookmarkStart w:id="10" w:name="_Toc14835"/>
      <w:bookmarkStart w:id="11" w:name="_Toc68285355"/>
      <w:bookmarkStart w:id="12" w:name="_Toc25995"/>
      <w:bookmarkStart w:id="13" w:name="_Toc29756"/>
      <w:bookmarkStart w:id="14" w:name="_Toc27991"/>
      <w:bookmarkStart w:id="15" w:name="_Toc12428"/>
      <w:bookmarkStart w:id="16" w:name="_Toc377"/>
      <w:bookmarkStart w:id="17" w:name="_Toc21128"/>
      <w:bookmarkStart w:id="18" w:name="_Toc12080"/>
      <w:bookmarkStart w:id="19" w:name="_Toc12352"/>
      <w:bookmarkStart w:id="20" w:name="_Toc536176436"/>
      <w:bookmarkStart w:id="21" w:name="_Toc536628245"/>
      <w:bookmarkStart w:id="22" w:name="_Toc9650"/>
      <w:bookmarkStart w:id="23" w:name="_Toc10121"/>
      <w:r>
        <w:rPr>
          <w:rFonts w:hint="eastAsia"/>
        </w:rPr>
        <w:t>目</w:t>
      </w:r>
      <w:bookmarkStart w:id="24" w:name="BKML"/>
      <w:r>
        <w:rPr>
          <w:rFonts w:hint="eastAsia" w:ascii="MS Mincho" w:hAnsi="MS Mincho" w:eastAsia="MS Mincho" w:cs="MS Mincho"/>
        </w:rPr>
        <w:t>  </w:t>
      </w:r>
      <w:r>
        <w:rPr>
          <w:rFonts w:hint="eastAsia"/>
        </w:rPr>
        <w:t>次</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4"/>
      <w:r>
        <w:rPr>
          <w:rFonts w:hint="eastAsia"/>
          <w:lang w:val="en-US" w:eastAsia="zh-CN"/>
        </w:rPr>
        <w:t xml:space="preserve"> </w:t>
      </w:r>
    </w:p>
    <w:bookmarkEnd w:id="20"/>
    <w:bookmarkEnd w:id="21"/>
    <w:bookmarkEnd w:id="22"/>
    <w:bookmarkEnd w:id="23"/>
    <w:sdt>
      <w:sdtPr>
        <w:rPr>
          <w:rFonts w:hAnsi="宋体" w:eastAsia="宋体" w:cs="Times New Roman"/>
          <w:kern w:val="0"/>
          <w:szCs w:val="20"/>
        </w:rPr>
        <w:id w:val="147466021"/>
        <w15:color w:val="DBDBDB"/>
        <w:docPartObj>
          <w:docPartGallery w:val="Table of Contents"/>
          <w:docPartUnique/>
        </w:docPartObj>
      </w:sdtPr>
      <w:sdtEndPr>
        <w:rPr>
          <w:rFonts w:hint="eastAsia" w:hAnsiTheme="minorHAnsi" w:eastAsiaTheme="minorEastAsia" w:cstheme="minorBidi"/>
          <w:kern w:val="2"/>
          <w:szCs w:val="24"/>
        </w:rPr>
      </w:sdtEndPr>
      <w:sdtContent>
        <w:p w14:paraId="776C4A1D">
          <w:pPr>
            <w:pStyle w:val="12"/>
            <w:spacing w:before="78" w:after="78"/>
            <w:jc w:val="both"/>
          </w:pPr>
          <w:r>
            <w:fldChar w:fldCharType="begin"/>
          </w:r>
          <w:r>
            <w:instrText xml:space="preserve"> </w:instrText>
          </w:r>
          <w:r>
            <w:rPr>
              <w:rFonts w:hint="eastAsia"/>
            </w:rPr>
            <w:instrText xml:space="preserve">TOC \o "1-1" \h \z \u</w:instrText>
          </w:r>
          <w:r>
            <w:instrText xml:space="preserve"> </w:instrText>
          </w:r>
          <w:r>
            <w:fldChar w:fldCharType="separate"/>
          </w:r>
          <w:r>
            <w:fldChar w:fldCharType="begin"/>
          </w:r>
          <w:r>
            <w:instrText xml:space="preserve"> HYPERLINK \l _Toc2141 </w:instrText>
          </w:r>
          <w:r>
            <w:fldChar w:fldCharType="separate"/>
          </w:r>
          <w:r>
            <w:rPr>
              <w:rFonts w:hint="eastAsia"/>
            </w:rPr>
            <w:t>前言</w:t>
          </w:r>
          <w:r>
            <w:tab/>
          </w:r>
          <w:r>
            <w:rPr>
              <w:rFonts w:hint="eastAsia"/>
              <w:lang w:eastAsia="zh-CN"/>
            </w:rPr>
            <w:t>Ⅱ</w:t>
          </w:r>
          <w:r>
            <w:fldChar w:fldCharType="end"/>
          </w:r>
        </w:p>
        <w:p w14:paraId="641F37D8">
          <w:pPr>
            <w:pStyle w:val="12"/>
            <w:tabs>
              <w:tab w:val="right" w:leader="dot" w:pos="9354"/>
              <w:tab w:val="clear" w:pos="9241"/>
            </w:tabs>
            <w:jc w:val="both"/>
          </w:pPr>
          <w:r>
            <w:fldChar w:fldCharType="begin"/>
          </w:r>
          <w:r>
            <w:instrText xml:space="preserve"> HYPERLINK \l _Toc23016 </w:instrText>
          </w:r>
          <w:r>
            <w:fldChar w:fldCharType="separate"/>
          </w:r>
          <w:r>
            <w:rPr>
              <w:rFonts w:hint="eastAsia" w:ascii="黑体" w:hAnsi="Times New Roman" w:eastAsia="黑体" w:cs="黑体"/>
              <w:i w:val="0"/>
              <w:szCs w:val="21"/>
            </w:rPr>
            <w:t xml:space="preserve">1 </w:t>
          </w:r>
          <w:r>
            <w:rPr>
              <w:rFonts w:hint="eastAsia" w:ascii="黑体" w:hAnsi="Times New Roman" w:eastAsia="黑体" w:cs="黑体"/>
              <w:i w:val="0"/>
              <w:szCs w:val="21"/>
              <w:lang w:val="en-US" w:eastAsia="zh-CN"/>
            </w:rPr>
            <w:t xml:space="preserve"> </w:t>
          </w:r>
          <w:r>
            <w:rPr>
              <w:rFonts w:hint="eastAsia" w:hAnsi="黑体" w:cs="黑体"/>
              <w:szCs w:val="21"/>
            </w:rPr>
            <w:t>范围</w:t>
          </w:r>
          <w:r>
            <w:tab/>
          </w:r>
          <w:r>
            <w:fldChar w:fldCharType="begin"/>
          </w:r>
          <w:r>
            <w:instrText xml:space="preserve"> PAGEREF _Toc23016 \h </w:instrText>
          </w:r>
          <w:r>
            <w:fldChar w:fldCharType="separate"/>
          </w:r>
          <w:r>
            <w:t>1</w:t>
          </w:r>
          <w:r>
            <w:fldChar w:fldCharType="end"/>
          </w:r>
          <w:r>
            <w:fldChar w:fldCharType="end"/>
          </w:r>
        </w:p>
        <w:p w14:paraId="7F4C04F8">
          <w:pPr>
            <w:pStyle w:val="12"/>
            <w:tabs>
              <w:tab w:val="right" w:leader="dot" w:pos="9354"/>
              <w:tab w:val="clear" w:pos="9241"/>
            </w:tabs>
            <w:jc w:val="both"/>
          </w:pPr>
          <w:r>
            <w:fldChar w:fldCharType="begin"/>
          </w:r>
          <w:r>
            <w:instrText xml:space="preserve"> HYPERLINK \l _Toc24582 </w:instrText>
          </w:r>
          <w:r>
            <w:fldChar w:fldCharType="separate"/>
          </w:r>
          <w:r>
            <w:rPr>
              <w:rFonts w:hint="eastAsia" w:ascii="黑体" w:hAnsi="Times New Roman" w:eastAsia="黑体" w:cs="黑体"/>
              <w:i w:val="0"/>
              <w:szCs w:val="21"/>
            </w:rPr>
            <w:t xml:space="preserve">2 </w:t>
          </w:r>
          <w:r>
            <w:rPr>
              <w:rFonts w:hint="eastAsia" w:ascii="黑体" w:hAnsi="Times New Roman" w:eastAsia="黑体" w:cs="黑体"/>
              <w:i w:val="0"/>
              <w:szCs w:val="21"/>
              <w:lang w:val="en-US" w:eastAsia="zh-CN"/>
            </w:rPr>
            <w:t xml:space="preserve"> </w:t>
          </w:r>
          <w:r>
            <w:rPr>
              <w:rFonts w:hint="eastAsia" w:hAnsi="黑体" w:cs="黑体"/>
              <w:szCs w:val="21"/>
            </w:rPr>
            <w:t>规范性引用文件</w:t>
          </w:r>
          <w:r>
            <w:tab/>
          </w:r>
          <w:r>
            <w:fldChar w:fldCharType="begin"/>
          </w:r>
          <w:r>
            <w:instrText xml:space="preserve"> PAGEREF _Toc24582 \h </w:instrText>
          </w:r>
          <w:r>
            <w:fldChar w:fldCharType="separate"/>
          </w:r>
          <w:r>
            <w:t>1</w:t>
          </w:r>
          <w:r>
            <w:fldChar w:fldCharType="end"/>
          </w:r>
          <w:r>
            <w:fldChar w:fldCharType="end"/>
          </w:r>
        </w:p>
        <w:p w14:paraId="5EABB81C">
          <w:pPr>
            <w:pStyle w:val="12"/>
            <w:tabs>
              <w:tab w:val="right" w:leader="dot" w:pos="9354"/>
              <w:tab w:val="clear" w:pos="9241"/>
            </w:tabs>
            <w:jc w:val="both"/>
          </w:pPr>
          <w:r>
            <w:fldChar w:fldCharType="begin"/>
          </w:r>
          <w:r>
            <w:instrText xml:space="preserve"> HYPERLINK \l _Toc20313 </w:instrText>
          </w:r>
          <w:r>
            <w:fldChar w:fldCharType="separate"/>
          </w:r>
          <w:r>
            <w:rPr>
              <w:rFonts w:hint="eastAsia" w:ascii="黑体" w:hAnsi="Times New Roman" w:eastAsia="黑体" w:cs="黑体"/>
              <w:i w:val="0"/>
              <w:szCs w:val="21"/>
            </w:rPr>
            <w:t xml:space="preserve">3 </w:t>
          </w:r>
          <w:r>
            <w:rPr>
              <w:rFonts w:hint="eastAsia" w:ascii="黑体" w:hAnsi="Times New Roman" w:eastAsia="黑体" w:cs="黑体"/>
              <w:i w:val="0"/>
              <w:szCs w:val="21"/>
              <w:lang w:val="en-US" w:eastAsia="zh-CN"/>
            </w:rPr>
            <w:t xml:space="preserve"> </w:t>
          </w:r>
          <w:r>
            <w:rPr>
              <w:rFonts w:hint="eastAsia" w:hAnsi="黑体" w:cs="黑体"/>
              <w:szCs w:val="21"/>
            </w:rPr>
            <w:t>术语和定义</w:t>
          </w:r>
          <w:r>
            <w:tab/>
          </w:r>
          <w:r>
            <w:fldChar w:fldCharType="begin"/>
          </w:r>
          <w:r>
            <w:instrText xml:space="preserve"> PAGEREF _Toc20313 \h </w:instrText>
          </w:r>
          <w:r>
            <w:fldChar w:fldCharType="separate"/>
          </w:r>
          <w:r>
            <w:t>2</w:t>
          </w:r>
          <w:r>
            <w:fldChar w:fldCharType="end"/>
          </w:r>
          <w:r>
            <w:fldChar w:fldCharType="end"/>
          </w:r>
        </w:p>
        <w:p w14:paraId="527DB35A">
          <w:pPr>
            <w:pStyle w:val="12"/>
            <w:tabs>
              <w:tab w:val="right" w:leader="dot" w:pos="9354"/>
              <w:tab w:val="clear" w:pos="9241"/>
            </w:tabs>
            <w:jc w:val="both"/>
          </w:pPr>
          <w:r>
            <w:fldChar w:fldCharType="begin"/>
          </w:r>
          <w:r>
            <w:instrText xml:space="preserve"> HYPERLINK \l _Toc10 </w:instrText>
          </w:r>
          <w:r>
            <w:fldChar w:fldCharType="separate"/>
          </w:r>
          <w:r>
            <w:rPr>
              <w:rFonts w:hint="eastAsia" w:ascii="黑体" w:hAnsi="Times New Roman" w:eastAsia="黑体"/>
              <w:i w:val="0"/>
              <w:szCs w:val="21"/>
            </w:rPr>
            <w:t xml:space="preserve">4 </w:t>
          </w:r>
          <w:r>
            <w:rPr>
              <w:rFonts w:hint="eastAsia" w:ascii="黑体" w:hAnsi="Times New Roman" w:eastAsia="黑体"/>
              <w:i w:val="0"/>
              <w:szCs w:val="21"/>
              <w:lang w:val="en-US" w:eastAsia="zh-CN"/>
            </w:rPr>
            <w:t xml:space="preserve"> </w:t>
          </w:r>
          <w:r>
            <w:rPr>
              <w:rFonts w:hint="eastAsia" w:hAnsi="黑体" w:cs="黑体"/>
              <w:szCs w:val="21"/>
            </w:rPr>
            <w:t>机构</w:t>
          </w:r>
          <w:r>
            <w:tab/>
          </w:r>
          <w:r>
            <w:fldChar w:fldCharType="begin"/>
          </w:r>
          <w:r>
            <w:instrText xml:space="preserve"> PAGEREF _Toc10 \h </w:instrText>
          </w:r>
          <w:r>
            <w:fldChar w:fldCharType="separate"/>
          </w:r>
          <w:r>
            <w:t>2</w:t>
          </w:r>
          <w:r>
            <w:fldChar w:fldCharType="end"/>
          </w:r>
          <w:r>
            <w:fldChar w:fldCharType="end"/>
          </w:r>
        </w:p>
        <w:p w14:paraId="01DEE145">
          <w:pPr>
            <w:pStyle w:val="12"/>
            <w:tabs>
              <w:tab w:val="right" w:leader="dot" w:pos="9354"/>
              <w:tab w:val="clear" w:pos="9241"/>
            </w:tabs>
            <w:jc w:val="both"/>
          </w:pPr>
          <w:r>
            <w:fldChar w:fldCharType="begin"/>
          </w:r>
          <w:r>
            <w:instrText xml:space="preserve"> HYPERLINK \l _Toc9963 </w:instrText>
          </w:r>
          <w:r>
            <w:fldChar w:fldCharType="separate"/>
          </w:r>
          <w:r>
            <w:rPr>
              <w:rFonts w:hint="eastAsia" w:ascii="黑体" w:hAnsi="Times New Roman" w:eastAsia="黑体" w:cs="Times New Roman"/>
              <w:i w:val="0"/>
              <w:szCs w:val="21"/>
              <w:lang w:val="en-US" w:eastAsia="zh-CN"/>
            </w:rPr>
            <w:t xml:space="preserve">5  </w:t>
          </w:r>
          <w:r>
            <w:rPr>
              <w:rFonts w:hint="default" w:ascii="Times New Roman" w:hAnsi="Times New Roman" w:cs="Times New Roman"/>
              <w:szCs w:val="21"/>
              <w:lang w:val="en-US" w:eastAsia="zh-CN"/>
            </w:rPr>
            <w:t>人员</w:t>
          </w:r>
          <w:r>
            <w:tab/>
          </w:r>
          <w:r>
            <w:fldChar w:fldCharType="begin"/>
          </w:r>
          <w:r>
            <w:instrText xml:space="preserve"> PAGEREF _Toc9963 \h </w:instrText>
          </w:r>
          <w:r>
            <w:fldChar w:fldCharType="separate"/>
          </w:r>
          <w:r>
            <w:t>4</w:t>
          </w:r>
          <w:r>
            <w:fldChar w:fldCharType="end"/>
          </w:r>
          <w:r>
            <w:fldChar w:fldCharType="end"/>
          </w:r>
        </w:p>
        <w:p w14:paraId="2383E6FC">
          <w:pPr>
            <w:pStyle w:val="12"/>
            <w:tabs>
              <w:tab w:val="right" w:leader="dot" w:pos="9354"/>
              <w:tab w:val="clear" w:pos="9241"/>
            </w:tabs>
            <w:jc w:val="both"/>
          </w:pPr>
          <w:r>
            <w:fldChar w:fldCharType="begin"/>
          </w:r>
          <w:r>
            <w:instrText xml:space="preserve"> HYPERLINK \l _Toc10389 </w:instrText>
          </w:r>
          <w:r>
            <w:fldChar w:fldCharType="separate"/>
          </w:r>
          <w:r>
            <w:rPr>
              <w:rFonts w:hint="eastAsia" w:ascii="黑体" w:hAnsi="Times New Roman" w:eastAsia="黑体"/>
              <w:i w:val="0"/>
              <w:szCs w:val="21"/>
            </w:rPr>
            <w:t xml:space="preserve">6 </w:t>
          </w:r>
          <w:r>
            <w:rPr>
              <w:rFonts w:hint="eastAsia" w:ascii="黑体" w:hAnsi="Times New Roman" w:eastAsia="黑体"/>
              <w:i w:val="0"/>
              <w:szCs w:val="21"/>
              <w:lang w:val="en-US" w:eastAsia="zh-CN"/>
            </w:rPr>
            <w:t xml:space="preserve"> </w:t>
          </w:r>
          <w:r>
            <w:rPr>
              <w:rFonts w:hint="default" w:ascii="Times New Roman"/>
            </w:rPr>
            <w:t>场所环境</w:t>
          </w:r>
          <w:r>
            <w:tab/>
          </w:r>
          <w:r>
            <w:fldChar w:fldCharType="begin"/>
          </w:r>
          <w:r>
            <w:instrText xml:space="preserve"> PAGEREF _Toc10389 \h </w:instrText>
          </w:r>
          <w:r>
            <w:fldChar w:fldCharType="separate"/>
          </w:r>
          <w:r>
            <w:t>4</w:t>
          </w:r>
          <w:r>
            <w:fldChar w:fldCharType="end"/>
          </w:r>
          <w:r>
            <w:fldChar w:fldCharType="end"/>
          </w:r>
        </w:p>
        <w:p w14:paraId="3F811D52">
          <w:pPr>
            <w:pStyle w:val="12"/>
            <w:tabs>
              <w:tab w:val="right" w:leader="dot" w:pos="9354"/>
              <w:tab w:val="clear" w:pos="9241"/>
            </w:tabs>
            <w:jc w:val="both"/>
          </w:pPr>
          <w:r>
            <w:fldChar w:fldCharType="begin"/>
          </w:r>
          <w:r>
            <w:instrText xml:space="preserve"> HYPERLINK \l _Toc7460 </w:instrText>
          </w:r>
          <w:r>
            <w:fldChar w:fldCharType="separate"/>
          </w:r>
          <w:r>
            <w:rPr>
              <w:rFonts w:hint="eastAsia" w:ascii="黑体" w:hAnsi="Times New Roman" w:eastAsia="黑体"/>
              <w:i w:val="0"/>
              <w:szCs w:val="21"/>
            </w:rPr>
            <w:t xml:space="preserve">7 </w:t>
          </w:r>
          <w:r>
            <w:rPr>
              <w:rFonts w:hint="eastAsia" w:ascii="黑体" w:hAnsi="Times New Roman" w:eastAsia="黑体"/>
              <w:i w:val="0"/>
              <w:szCs w:val="21"/>
              <w:lang w:val="en-US" w:eastAsia="zh-CN"/>
            </w:rPr>
            <w:t xml:space="preserve"> </w:t>
          </w:r>
          <w:r>
            <w:rPr>
              <w:rFonts w:hint="eastAsia"/>
            </w:rPr>
            <w:t>设施设备</w:t>
          </w:r>
          <w:r>
            <w:tab/>
          </w:r>
          <w:r>
            <w:fldChar w:fldCharType="begin"/>
          </w:r>
          <w:r>
            <w:instrText xml:space="preserve"> PAGEREF _Toc7460 \h </w:instrText>
          </w:r>
          <w:r>
            <w:fldChar w:fldCharType="separate"/>
          </w:r>
          <w:r>
            <w:t>4</w:t>
          </w:r>
          <w:r>
            <w:fldChar w:fldCharType="end"/>
          </w:r>
          <w:r>
            <w:fldChar w:fldCharType="end"/>
          </w:r>
        </w:p>
        <w:p w14:paraId="42CD3485">
          <w:pPr>
            <w:pStyle w:val="12"/>
            <w:tabs>
              <w:tab w:val="right" w:leader="dot" w:pos="9354"/>
              <w:tab w:val="clear" w:pos="9241"/>
            </w:tabs>
            <w:jc w:val="both"/>
          </w:pPr>
          <w:r>
            <w:fldChar w:fldCharType="begin"/>
          </w:r>
          <w:r>
            <w:instrText xml:space="preserve"> HYPERLINK \l _Toc32133 </w:instrText>
          </w:r>
          <w:r>
            <w:fldChar w:fldCharType="separate"/>
          </w:r>
          <w:r>
            <w:rPr>
              <w:rFonts w:hint="eastAsia" w:ascii="黑体" w:hAnsi="Times New Roman" w:eastAsia="黑体"/>
              <w:i w:val="0"/>
              <w:szCs w:val="21"/>
            </w:rPr>
            <w:t xml:space="preserve">8 </w:t>
          </w:r>
          <w:r>
            <w:rPr>
              <w:rFonts w:hint="eastAsia" w:ascii="黑体" w:hAnsi="Times New Roman" w:eastAsia="黑体"/>
              <w:i w:val="0"/>
              <w:szCs w:val="21"/>
              <w:lang w:val="en-US" w:eastAsia="zh-CN"/>
            </w:rPr>
            <w:t xml:space="preserve"> </w:t>
          </w:r>
          <w:r>
            <w:rPr>
              <w:rFonts w:hint="eastAsia"/>
            </w:rPr>
            <w:t>物料</w:t>
          </w:r>
          <w:r>
            <w:tab/>
          </w:r>
          <w:r>
            <w:fldChar w:fldCharType="begin"/>
          </w:r>
          <w:r>
            <w:instrText xml:space="preserve"> PAGEREF _Toc32133 \h </w:instrText>
          </w:r>
          <w:r>
            <w:fldChar w:fldCharType="separate"/>
          </w:r>
          <w:r>
            <w:t>4</w:t>
          </w:r>
          <w:r>
            <w:fldChar w:fldCharType="end"/>
          </w:r>
          <w:r>
            <w:fldChar w:fldCharType="end"/>
          </w:r>
        </w:p>
        <w:p w14:paraId="26CFE050">
          <w:pPr>
            <w:pStyle w:val="12"/>
            <w:tabs>
              <w:tab w:val="right" w:leader="dot" w:pos="9354"/>
              <w:tab w:val="clear" w:pos="9241"/>
            </w:tabs>
            <w:jc w:val="both"/>
          </w:pPr>
          <w:r>
            <w:fldChar w:fldCharType="begin"/>
          </w:r>
          <w:r>
            <w:instrText xml:space="preserve"> HYPERLINK \l _Toc25124 </w:instrText>
          </w:r>
          <w:r>
            <w:fldChar w:fldCharType="separate"/>
          </w:r>
          <w:r>
            <w:rPr>
              <w:rFonts w:hint="eastAsia" w:ascii="黑体" w:hAnsi="Times New Roman" w:eastAsia="黑体" w:cs="黑体"/>
              <w:i w:val="0"/>
              <w:szCs w:val="21"/>
            </w:rPr>
            <w:t xml:space="preserve">9 </w:t>
          </w:r>
          <w:r>
            <w:rPr>
              <w:rFonts w:hint="eastAsia" w:ascii="黑体" w:hAnsi="Times New Roman" w:eastAsia="黑体" w:cs="黑体"/>
              <w:i w:val="0"/>
              <w:szCs w:val="21"/>
              <w:lang w:val="en-US" w:eastAsia="zh-CN"/>
            </w:rPr>
            <w:t xml:space="preserve"> </w:t>
          </w:r>
          <w:r>
            <w:rPr>
              <w:rFonts w:hint="eastAsia" w:hAnsi="黑体" w:cs="黑体"/>
              <w:szCs w:val="21"/>
            </w:rPr>
            <w:t>危险源辨识</w:t>
          </w:r>
          <w:r>
            <w:tab/>
          </w:r>
          <w:r>
            <w:fldChar w:fldCharType="begin"/>
          </w:r>
          <w:r>
            <w:instrText xml:space="preserve"> PAGEREF _Toc25124 \h </w:instrText>
          </w:r>
          <w:r>
            <w:fldChar w:fldCharType="separate"/>
          </w:r>
          <w:r>
            <w:t>5</w:t>
          </w:r>
          <w:r>
            <w:fldChar w:fldCharType="end"/>
          </w:r>
          <w:r>
            <w:fldChar w:fldCharType="end"/>
          </w:r>
        </w:p>
        <w:p w14:paraId="412EDDA7">
          <w:pPr>
            <w:pStyle w:val="12"/>
            <w:tabs>
              <w:tab w:val="right" w:leader="dot" w:pos="9354"/>
              <w:tab w:val="clear" w:pos="9241"/>
            </w:tabs>
            <w:jc w:val="both"/>
          </w:pPr>
          <w:r>
            <w:fldChar w:fldCharType="begin"/>
          </w:r>
          <w:r>
            <w:instrText xml:space="preserve"> HYPERLINK \l _Toc9008 </w:instrText>
          </w:r>
          <w:r>
            <w:fldChar w:fldCharType="separate"/>
          </w:r>
          <w:r>
            <w:rPr>
              <w:rFonts w:hint="eastAsia" w:ascii="黑体" w:hAnsi="Times New Roman" w:eastAsia="黑体" w:cs="黑体"/>
              <w:i w:val="0"/>
              <w:szCs w:val="21"/>
            </w:rPr>
            <w:t xml:space="preserve">10 </w:t>
          </w:r>
          <w:r>
            <w:rPr>
              <w:rFonts w:hint="eastAsia" w:hAnsi="黑体" w:cs="黑体"/>
              <w:szCs w:val="21"/>
            </w:rPr>
            <w:t>风险评价</w:t>
          </w:r>
          <w:r>
            <w:tab/>
          </w:r>
          <w:r>
            <w:fldChar w:fldCharType="begin"/>
          </w:r>
          <w:r>
            <w:instrText xml:space="preserve"> PAGEREF _Toc9008 \h </w:instrText>
          </w:r>
          <w:r>
            <w:fldChar w:fldCharType="separate"/>
          </w:r>
          <w:r>
            <w:t>5</w:t>
          </w:r>
          <w:r>
            <w:fldChar w:fldCharType="end"/>
          </w:r>
          <w:r>
            <w:fldChar w:fldCharType="end"/>
          </w:r>
        </w:p>
        <w:p w14:paraId="2C3B2F4F">
          <w:pPr>
            <w:pStyle w:val="12"/>
            <w:tabs>
              <w:tab w:val="right" w:leader="dot" w:pos="9354"/>
              <w:tab w:val="clear" w:pos="9241"/>
            </w:tabs>
            <w:jc w:val="both"/>
          </w:pPr>
          <w:r>
            <w:fldChar w:fldCharType="begin"/>
          </w:r>
          <w:r>
            <w:instrText xml:space="preserve"> HYPERLINK \l _Toc21185 </w:instrText>
          </w:r>
          <w:r>
            <w:fldChar w:fldCharType="separate"/>
          </w:r>
          <w:r>
            <w:rPr>
              <w:rFonts w:hint="eastAsia" w:ascii="黑体" w:hAnsi="Times New Roman" w:eastAsia="黑体" w:cs="黑体"/>
              <w:i w:val="0"/>
              <w:szCs w:val="21"/>
            </w:rPr>
            <w:t xml:space="preserve">11 </w:t>
          </w:r>
          <w:r>
            <w:rPr>
              <w:rFonts w:hint="eastAsia" w:hAnsi="黑体" w:cs="黑体"/>
              <w:szCs w:val="21"/>
              <w:highlight w:val="none"/>
              <w:lang w:val="en-US" w:eastAsia="zh-CN"/>
            </w:rPr>
            <w:t>控制措施</w:t>
          </w:r>
          <w:r>
            <w:tab/>
          </w:r>
          <w:r>
            <w:fldChar w:fldCharType="begin"/>
          </w:r>
          <w:r>
            <w:instrText xml:space="preserve"> PAGEREF _Toc21185 \h </w:instrText>
          </w:r>
          <w:r>
            <w:fldChar w:fldCharType="separate"/>
          </w:r>
          <w:r>
            <w:t>6</w:t>
          </w:r>
          <w:r>
            <w:fldChar w:fldCharType="end"/>
          </w:r>
          <w:r>
            <w:fldChar w:fldCharType="end"/>
          </w:r>
        </w:p>
        <w:p w14:paraId="48609B5B">
          <w:pPr>
            <w:pStyle w:val="12"/>
            <w:tabs>
              <w:tab w:val="right" w:leader="dot" w:pos="9354"/>
              <w:tab w:val="clear" w:pos="9241"/>
            </w:tabs>
            <w:jc w:val="both"/>
          </w:pPr>
          <w:r>
            <w:fldChar w:fldCharType="begin"/>
          </w:r>
          <w:r>
            <w:instrText xml:space="preserve"> HYPERLINK \l _Toc28064 </w:instrText>
          </w:r>
          <w:r>
            <w:fldChar w:fldCharType="separate"/>
          </w:r>
          <w:r>
            <w:rPr>
              <w:rFonts w:hint="eastAsia" w:ascii="黑体" w:hAnsi="Times New Roman" w:eastAsia="黑体" w:cs="Times New Roman"/>
              <w:i w:val="0"/>
              <w:szCs w:val="21"/>
              <w:lang w:val="en-US" w:eastAsia="zh-CN"/>
            </w:rPr>
            <w:t xml:space="preserve">12 </w:t>
          </w:r>
          <w:r>
            <w:rPr>
              <w:rFonts w:hint="default" w:ascii="Times New Roman" w:hAnsi="Times New Roman" w:cs="Times New Roman"/>
              <w:szCs w:val="21"/>
              <w:lang w:val="en-US" w:eastAsia="zh-CN"/>
            </w:rPr>
            <w:t>报告与记录</w:t>
          </w:r>
          <w:r>
            <w:tab/>
          </w:r>
          <w:r>
            <w:fldChar w:fldCharType="begin"/>
          </w:r>
          <w:r>
            <w:instrText xml:space="preserve"> PAGEREF _Toc28064 \h </w:instrText>
          </w:r>
          <w:r>
            <w:fldChar w:fldCharType="separate"/>
          </w:r>
          <w:r>
            <w:t>6</w:t>
          </w:r>
          <w:r>
            <w:fldChar w:fldCharType="end"/>
          </w:r>
          <w:r>
            <w:fldChar w:fldCharType="end"/>
          </w:r>
        </w:p>
        <w:p w14:paraId="15E606A2">
          <w:pPr>
            <w:pStyle w:val="12"/>
            <w:tabs>
              <w:tab w:val="right" w:leader="dot" w:pos="9354"/>
              <w:tab w:val="clear" w:pos="9241"/>
            </w:tabs>
            <w:jc w:val="both"/>
          </w:pPr>
          <w:r>
            <w:fldChar w:fldCharType="begin"/>
          </w:r>
          <w:r>
            <w:instrText xml:space="preserve"> HYPERLINK \l _Toc28064 </w:instrText>
          </w:r>
          <w:r>
            <w:fldChar w:fldCharType="separate"/>
          </w:r>
          <w:r>
            <w:rPr>
              <w:rFonts w:hint="eastAsia" w:ascii="黑体" w:hAnsi="Times New Roman" w:eastAsia="黑体" w:cs="Times New Roman"/>
              <w:i w:val="0"/>
              <w:szCs w:val="21"/>
              <w:lang w:val="en-US" w:eastAsia="zh-CN"/>
            </w:rPr>
            <w:t xml:space="preserve">13 </w:t>
          </w:r>
          <w:r>
            <w:rPr>
              <w:rFonts w:hint="eastAsia" w:ascii="Times New Roman" w:hAnsi="Times New Roman" w:cs="Times New Roman"/>
              <w:szCs w:val="21"/>
              <w:lang w:val="en-US" w:eastAsia="zh-CN"/>
            </w:rPr>
            <w:t>标准实施及评价</w:t>
          </w:r>
          <w:r>
            <w:tab/>
          </w:r>
          <w:r>
            <w:rPr>
              <w:rFonts w:hint="eastAsia"/>
              <w:lang w:val="en-US" w:eastAsia="zh-CN"/>
            </w:rPr>
            <w:t>7</w:t>
          </w:r>
          <w:r>
            <w:fldChar w:fldCharType="end"/>
          </w:r>
        </w:p>
        <w:p w14:paraId="453BE4F3">
          <w:pPr>
            <w:pStyle w:val="12"/>
            <w:tabs>
              <w:tab w:val="right" w:leader="dot" w:pos="9354"/>
              <w:tab w:val="clear" w:pos="9241"/>
            </w:tabs>
            <w:jc w:val="both"/>
            <w:rPr>
              <w:rFonts w:hint="eastAsia" w:hAnsi="宋体" w:eastAsia="宋体" w:cs="宋体"/>
            </w:rPr>
          </w:pPr>
          <w:r>
            <w:rPr>
              <w:rFonts w:hint="eastAsia" w:hAnsi="宋体" w:eastAsia="宋体" w:cs="宋体"/>
            </w:rPr>
            <w:fldChar w:fldCharType="begin"/>
          </w:r>
          <w:r>
            <w:rPr>
              <w:rFonts w:hint="eastAsia" w:hAnsi="宋体" w:eastAsia="宋体" w:cs="宋体"/>
            </w:rPr>
            <w:instrText xml:space="preserve"> HYPERLINK \l _Toc23356 </w:instrText>
          </w:r>
          <w:r>
            <w:rPr>
              <w:rFonts w:hint="eastAsia" w:hAnsi="宋体" w:eastAsia="宋体" w:cs="宋体"/>
            </w:rPr>
            <w:fldChar w:fldCharType="separate"/>
          </w:r>
          <w:r>
            <w:rPr>
              <w:rFonts w:hint="eastAsia" w:ascii="宋体" w:hAnsi="宋体" w:eastAsia="宋体" w:cs="宋体"/>
              <w:kern w:val="0"/>
              <w:szCs w:val="20"/>
              <w:lang w:val="en-US" w:eastAsia="zh-CN" w:bidi="ar"/>
            </w:rPr>
            <w:t>附录A</w:t>
          </w:r>
          <w:r>
            <w:rPr>
              <w:rFonts w:hint="eastAsia" w:hAnsi="宋体" w:eastAsia="宋体" w:cs="宋体"/>
            </w:rPr>
            <w:fldChar w:fldCharType="end"/>
          </w:r>
          <w:r>
            <w:rPr>
              <w:rFonts w:hint="eastAsia" w:hAnsi="宋体" w:eastAsia="宋体" w:cs="宋体"/>
            </w:rPr>
            <w:fldChar w:fldCharType="begin"/>
          </w:r>
          <w:r>
            <w:rPr>
              <w:rFonts w:hint="eastAsia" w:hAnsi="宋体" w:eastAsia="宋体" w:cs="宋体"/>
            </w:rPr>
            <w:instrText xml:space="preserve"> HYPERLINK \l _Toc26346 </w:instrText>
          </w:r>
          <w:r>
            <w:rPr>
              <w:rFonts w:hint="eastAsia" w:hAnsi="宋体" w:eastAsia="宋体" w:cs="宋体"/>
            </w:rPr>
            <w:fldChar w:fldCharType="separate"/>
          </w:r>
          <w:r>
            <w:rPr>
              <w:rFonts w:hint="eastAsia" w:ascii="宋体" w:hAnsi="宋体" w:eastAsia="宋体" w:cs="宋体"/>
              <w:szCs w:val="20"/>
              <w:lang w:val="en-US" w:eastAsia="zh-CN" w:bidi="ar"/>
            </w:rPr>
            <w:t>（资料性）</w:t>
          </w:r>
          <w:r>
            <w:rPr>
              <w:rFonts w:hint="eastAsia" w:hAnsi="宋体" w:eastAsia="宋体" w:cs="宋体"/>
            </w:rPr>
            <w:fldChar w:fldCharType="end"/>
          </w:r>
          <w:r>
            <w:rPr>
              <w:rFonts w:hint="eastAsia" w:hAnsi="宋体" w:eastAsia="宋体" w:cs="宋体"/>
            </w:rPr>
            <w:fldChar w:fldCharType="begin"/>
          </w:r>
          <w:r>
            <w:rPr>
              <w:rFonts w:hint="eastAsia" w:hAnsi="宋体" w:eastAsia="宋体" w:cs="宋体"/>
            </w:rPr>
            <w:instrText xml:space="preserve"> HYPERLINK \l _Toc22732 </w:instrText>
          </w:r>
          <w:r>
            <w:rPr>
              <w:rFonts w:hint="eastAsia" w:hAnsi="宋体" w:eastAsia="宋体" w:cs="宋体"/>
            </w:rPr>
            <w:fldChar w:fldCharType="separate"/>
          </w:r>
          <w:r>
            <w:rPr>
              <w:rFonts w:hint="eastAsia" w:ascii="宋体" w:hAnsi="宋体" w:eastAsia="宋体" w:cs="宋体"/>
              <w:szCs w:val="20"/>
              <w:lang w:val="en-US" w:eastAsia="zh-CN" w:bidi="ar"/>
            </w:rPr>
            <w:t>工作危害分析法（JHA）</w:t>
          </w:r>
          <w:r>
            <w:rPr>
              <w:rFonts w:hint="eastAsia" w:hAnsi="宋体" w:eastAsia="宋体" w:cs="宋体"/>
            </w:rPr>
            <w:tab/>
          </w:r>
          <w:r>
            <w:rPr>
              <w:rFonts w:hint="eastAsia" w:hAnsi="宋体" w:eastAsia="宋体" w:cs="宋体"/>
              <w:lang w:val="en-US" w:eastAsia="zh-CN"/>
            </w:rPr>
            <w:t>8</w:t>
          </w:r>
          <w:r>
            <w:rPr>
              <w:rFonts w:hint="eastAsia" w:hAnsi="宋体" w:eastAsia="宋体" w:cs="宋体"/>
            </w:rPr>
            <w:fldChar w:fldCharType="end"/>
          </w:r>
        </w:p>
        <w:p w14:paraId="29111322">
          <w:pPr>
            <w:pStyle w:val="12"/>
            <w:tabs>
              <w:tab w:val="right" w:leader="dot" w:pos="9354"/>
              <w:tab w:val="clear" w:pos="9241"/>
            </w:tabs>
            <w:jc w:val="both"/>
            <w:rPr>
              <w:rFonts w:hint="eastAsia" w:eastAsia="宋体"/>
              <w:lang w:val="en-US" w:eastAsia="zh-CN"/>
            </w:rPr>
          </w:pPr>
          <w:r>
            <w:rPr>
              <w:rFonts w:hint="eastAsia" w:hAnsi="宋体" w:eastAsia="宋体" w:cs="宋体"/>
            </w:rPr>
            <w:fldChar w:fldCharType="begin"/>
          </w:r>
          <w:r>
            <w:rPr>
              <w:rFonts w:hint="eastAsia" w:hAnsi="宋体" w:eastAsia="宋体" w:cs="宋体"/>
            </w:rPr>
            <w:instrText xml:space="preserve"> HYPERLINK \l _Toc19735 </w:instrText>
          </w:r>
          <w:r>
            <w:rPr>
              <w:rFonts w:hint="eastAsia" w:hAnsi="宋体" w:eastAsia="宋体" w:cs="宋体"/>
            </w:rPr>
            <w:fldChar w:fldCharType="separate"/>
          </w:r>
          <w:r>
            <w:rPr>
              <w:rFonts w:hint="eastAsia" w:ascii="宋体" w:hAnsi="宋体" w:eastAsia="宋体" w:cs="宋体"/>
              <w:spacing w:val="0"/>
              <w:szCs w:val="20"/>
              <w:lang w:eastAsia="zh-CN" w:bidi="ar"/>
            </w:rPr>
            <w:t>附录</w:t>
          </w:r>
          <w:r>
            <w:rPr>
              <w:rFonts w:hint="eastAsia" w:ascii="宋体" w:hAnsi="宋体" w:eastAsia="宋体" w:cs="宋体"/>
              <w:spacing w:val="0"/>
              <w:szCs w:val="20"/>
              <w:lang w:val="en-US" w:eastAsia="zh-CN" w:bidi="ar"/>
            </w:rPr>
            <w:t>B</w:t>
          </w:r>
          <w:r>
            <w:rPr>
              <w:rFonts w:hint="eastAsia" w:hAnsi="宋体" w:eastAsia="宋体" w:cs="宋体"/>
            </w:rPr>
            <w:fldChar w:fldCharType="end"/>
          </w:r>
          <w:r>
            <w:rPr>
              <w:rFonts w:hint="eastAsia" w:hAnsi="宋体" w:eastAsia="宋体" w:cs="宋体"/>
            </w:rPr>
            <w:fldChar w:fldCharType="begin"/>
          </w:r>
          <w:r>
            <w:rPr>
              <w:rFonts w:hint="eastAsia" w:hAnsi="宋体" w:eastAsia="宋体" w:cs="宋体"/>
            </w:rPr>
            <w:instrText xml:space="preserve"> HYPERLINK \l _Toc14420 </w:instrText>
          </w:r>
          <w:r>
            <w:rPr>
              <w:rFonts w:hint="eastAsia" w:hAnsi="宋体" w:eastAsia="宋体" w:cs="宋体"/>
            </w:rPr>
            <w:fldChar w:fldCharType="separate"/>
          </w:r>
          <w:r>
            <w:rPr>
              <w:rFonts w:hint="eastAsia" w:hAnsi="宋体" w:eastAsia="宋体" w:cs="宋体"/>
              <w:lang w:eastAsia="zh-CN" w:bidi="ar"/>
            </w:rPr>
            <w:t>（资料性）</w:t>
          </w:r>
          <w:r>
            <w:rPr>
              <w:rFonts w:hint="eastAsia" w:hAnsi="宋体" w:eastAsia="宋体" w:cs="宋体"/>
            </w:rPr>
            <w:fldChar w:fldCharType="end"/>
          </w:r>
          <w:r>
            <w:rPr>
              <w:rFonts w:hint="eastAsia" w:hAnsi="宋体" w:eastAsia="宋体" w:cs="宋体"/>
            </w:rPr>
            <w:fldChar w:fldCharType="begin"/>
          </w:r>
          <w:r>
            <w:rPr>
              <w:rFonts w:hint="eastAsia" w:hAnsi="宋体" w:eastAsia="宋体" w:cs="宋体"/>
            </w:rPr>
            <w:instrText xml:space="preserve"> HYPERLINK \l _Toc27764 </w:instrText>
          </w:r>
          <w:r>
            <w:rPr>
              <w:rFonts w:hint="eastAsia" w:hAnsi="宋体" w:eastAsia="宋体" w:cs="宋体"/>
            </w:rPr>
            <w:fldChar w:fldCharType="separate"/>
          </w:r>
          <w:r>
            <w:rPr>
              <w:rFonts w:hint="eastAsia" w:hAnsi="宋体" w:eastAsia="宋体" w:cs="宋体"/>
              <w:lang w:eastAsia="zh-CN" w:bidi="ar"/>
            </w:rPr>
            <w:t>安全检查表法（SCL）</w:t>
          </w:r>
          <w:r>
            <w:rPr>
              <w:rFonts w:hint="eastAsia" w:hAnsi="宋体" w:eastAsia="宋体" w:cs="宋体"/>
            </w:rPr>
            <w:tab/>
          </w:r>
          <w:r>
            <w:rPr>
              <w:rFonts w:hint="eastAsia" w:hAnsi="宋体" w:eastAsia="宋体" w:cs="宋体"/>
              <w:lang w:val="en-US" w:eastAsia="zh-CN"/>
            </w:rPr>
            <w:t>1</w:t>
          </w:r>
          <w:r>
            <w:rPr>
              <w:rFonts w:hint="eastAsia" w:hAnsi="宋体" w:eastAsia="宋体" w:cs="宋体"/>
            </w:rPr>
            <w:fldChar w:fldCharType="end"/>
          </w:r>
          <w:r>
            <w:rPr>
              <w:rFonts w:hint="eastAsia" w:hAnsi="宋体" w:eastAsia="宋体" w:cs="宋体"/>
              <w:lang w:val="en-US" w:eastAsia="zh-CN"/>
            </w:rPr>
            <w:t>0</w:t>
          </w:r>
        </w:p>
        <w:p w14:paraId="6F215B91">
          <w:pPr>
            <w:pStyle w:val="12"/>
            <w:tabs>
              <w:tab w:val="right" w:leader="dot" w:pos="9354"/>
              <w:tab w:val="clear" w:pos="9241"/>
            </w:tabs>
            <w:jc w:val="both"/>
          </w:pPr>
          <w:r>
            <w:fldChar w:fldCharType="begin"/>
          </w:r>
          <w:r>
            <w:instrText xml:space="preserve"> HYPERLINK \l _Toc17408 </w:instrText>
          </w:r>
          <w:r>
            <w:fldChar w:fldCharType="separate"/>
          </w:r>
          <w:r>
            <w:rPr>
              <w:rFonts w:hint="eastAsia"/>
            </w:rPr>
            <w:t>附录</w:t>
          </w:r>
          <w:r>
            <w:rPr>
              <w:rFonts w:hint="eastAsia"/>
              <w:lang w:val="en-US" w:eastAsia="zh-CN"/>
            </w:rPr>
            <w:t>C</w:t>
          </w:r>
          <w:r>
            <w:rPr>
              <w:rFonts w:hint="eastAsia"/>
            </w:rPr>
            <w:t>（资料性）作业条件危险性分析法（LEC）</w:t>
          </w:r>
          <w:r>
            <w:tab/>
          </w:r>
          <w:r>
            <w:fldChar w:fldCharType="begin"/>
          </w:r>
          <w:r>
            <w:instrText xml:space="preserve"> PAGEREF _Toc17408 \h </w:instrText>
          </w:r>
          <w:r>
            <w:fldChar w:fldCharType="separate"/>
          </w:r>
          <w:r>
            <w:t>12</w:t>
          </w:r>
          <w:r>
            <w:fldChar w:fldCharType="end"/>
          </w:r>
          <w:r>
            <w:fldChar w:fldCharType="end"/>
          </w:r>
        </w:p>
        <w:p w14:paraId="0DC1F222">
          <w:pPr>
            <w:pStyle w:val="12"/>
            <w:tabs>
              <w:tab w:val="right" w:leader="dot" w:pos="9354"/>
              <w:tab w:val="clear" w:pos="9241"/>
            </w:tabs>
            <w:jc w:val="both"/>
          </w:pPr>
          <w:r>
            <w:fldChar w:fldCharType="begin"/>
          </w:r>
          <w:r>
            <w:instrText xml:space="preserve"> HYPERLINK \l _Toc8518 </w:instrText>
          </w:r>
          <w:r>
            <w:fldChar w:fldCharType="separate"/>
          </w:r>
          <w:r>
            <w:rPr>
              <w:rFonts w:hint="eastAsia"/>
            </w:rPr>
            <w:t>附录</w:t>
          </w:r>
          <w:r>
            <w:rPr>
              <w:rFonts w:hint="eastAsia"/>
              <w:lang w:val="en-US" w:eastAsia="zh-CN"/>
            </w:rPr>
            <w:t>D</w:t>
          </w:r>
          <w:r>
            <w:rPr>
              <w:rFonts w:hint="eastAsia"/>
            </w:rPr>
            <w:t>（资料性）风险矩阵分析法（LS）</w:t>
          </w:r>
          <w:r>
            <w:tab/>
          </w:r>
          <w:r>
            <w:fldChar w:fldCharType="begin"/>
          </w:r>
          <w:r>
            <w:instrText xml:space="preserve"> PAGEREF _Toc8518 \h </w:instrText>
          </w:r>
          <w:r>
            <w:fldChar w:fldCharType="separate"/>
          </w:r>
          <w:r>
            <w:t>14</w:t>
          </w:r>
          <w:r>
            <w:fldChar w:fldCharType="end"/>
          </w:r>
          <w:r>
            <w:fldChar w:fldCharType="end"/>
          </w:r>
        </w:p>
        <w:p w14:paraId="65B0CAD0">
          <w:pPr>
            <w:pStyle w:val="12"/>
            <w:tabs>
              <w:tab w:val="right" w:leader="dot" w:pos="9354"/>
              <w:tab w:val="clear" w:pos="9241"/>
            </w:tabs>
            <w:jc w:val="both"/>
          </w:pPr>
          <w:r>
            <w:fldChar w:fldCharType="begin"/>
          </w:r>
          <w:r>
            <w:instrText xml:space="preserve"> HYPERLINK \l _Toc24227 </w:instrText>
          </w:r>
          <w:r>
            <w:fldChar w:fldCharType="separate"/>
          </w:r>
          <w:r>
            <w:rPr>
              <w:rFonts w:hint="eastAsia"/>
            </w:rPr>
            <w:t>附录</w:t>
          </w:r>
          <w:r>
            <w:rPr>
              <w:rFonts w:hint="eastAsia"/>
              <w:lang w:val="en-US" w:eastAsia="zh-CN"/>
            </w:rPr>
            <w:t>E</w:t>
          </w:r>
          <w:r>
            <w:rPr>
              <w:rFonts w:hint="eastAsia"/>
            </w:rPr>
            <w:t>（资料性）风险程度分析法（MES）</w:t>
          </w:r>
          <w:r>
            <w:tab/>
          </w:r>
          <w:r>
            <w:fldChar w:fldCharType="begin"/>
          </w:r>
          <w:r>
            <w:instrText xml:space="preserve"> PAGEREF _Toc24227 \h </w:instrText>
          </w:r>
          <w:r>
            <w:fldChar w:fldCharType="separate"/>
          </w:r>
          <w:r>
            <w:t>16</w:t>
          </w:r>
          <w:r>
            <w:fldChar w:fldCharType="end"/>
          </w:r>
          <w:r>
            <w:fldChar w:fldCharType="end"/>
          </w:r>
        </w:p>
        <w:p w14:paraId="77D1468B">
          <w:pPr>
            <w:pStyle w:val="12"/>
            <w:tabs>
              <w:tab w:val="right" w:leader="dot" w:pos="9354"/>
              <w:tab w:val="clear" w:pos="9241"/>
            </w:tabs>
            <w:jc w:val="both"/>
          </w:pPr>
          <w:r>
            <w:fldChar w:fldCharType="begin"/>
          </w:r>
          <w:r>
            <w:instrText xml:space="preserve"> HYPERLINK \l _Toc24227 </w:instrText>
          </w:r>
          <w:r>
            <w:fldChar w:fldCharType="separate"/>
          </w:r>
          <w:r>
            <w:rPr>
              <w:rFonts w:hint="eastAsia"/>
            </w:rPr>
            <w:t>附录</w:t>
          </w:r>
          <w:r>
            <w:rPr>
              <w:rFonts w:hint="eastAsia"/>
              <w:lang w:val="en-US" w:eastAsia="zh-CN"/>
            </w:rPr>
            <w:t>F</w:t>
          </w:r>
          <w:r>
            <w:rPr>
              <w:rFonts w:hint="eastAsia"/>
            </w:rPr>
            <w:t>（资料性）湖北省地方标准实施信息及意见反馈表</w:t>
          </w:r>
          <w:r>
            <w:tab/>
          </w:r>
          <w:r>
            <w:fldChar w:fldCharType="begin"/>
          </w:r>
          <w:r>
            <w:instrText xml:space="preserve"> PAGEREF _Toc24227 \h </w:instrText>
          </w:r>
          <w:r>
            <w:fldChar w:fldCharType="separate"/>
          </w:r>
          <w:r>
            <w:t>16</w:t>
          </w:r>
          <w:r>
            <w:fldChar w:fldCharType="end"/>
          </w:r>
          <w:r>
            <w:fldChar w:fldCharType="end"/>
          </w:r>
        </w:p>
        <w:p w14:paraId="4D0E385E"/>
        <w:p w14:paraId="408BA0F8">
          <w:pPr>
            <w:pStyle w:val="12"/>
            <w:spacing w:before="78" w:after="78"/>
            <w:jc w:val="center"/>
          </w:pPr>
          <w:r>
            <w:fldChar w:fldCharType="end"/>
          </w:r>
        </w:p>
      </w:sdtContent>
    </w:sdt>
    <w:p w14:paraId="5292C2C2">
      <w:pPr>
        <w:pStyle w:val="43"/>
        <w:spacing w:before="156" w:beforeLines="50" w:after="156" w:afterLines="50"/>
        <w:rPr>
          <w:rFonts w:ascii="宋体" w:hAnsi="宋体" w:eastAsia="宋体" w:cs="宋体"/>
          <w:sz w:val="21"/>
          <w:szCs w:val="21"/>
        </w:rPr>
        <w:sectPr>
          <w:headerReference r:id="rId5" w:type="default"/>
          <w:footerReference r:id="rId6" w:type="default"/>
          <w:pgSz w:w="11906" w:h="16838"/>
          <w:pgMar w:top="567" w:right="1134" w:bottom="1134" w:left="1418" w:header="1418" w:footer="1134" w:gutter="0"/>
          <w:pgNumType w:fmt="upperRoman" w:start="1"/>
          <w:cols w:space="425" w:num="1"/>
          <w:formProt w:val="0"/>
          <w:docGrid w:type="lines" w:linePitch="312" w:charSpace="0"/>
        </w:sectPr>
      </w:pPr>
      <w:bookmarkStart w:id="25" w:name="_Toc488241935"/>
      <w:bookmarkStart w:id="26" w:name="_Toc26327"/>
    </w:p>
    <w:bookmarkEnd w:id="25"/>
    <w:bookmarkEnd w:id="26"/>
    <w:p w14:paraId="6743B065">
      <w:pPr>
        <w:pStyle w:val="43"/>
      </w:pPr>
      <w:bookmarkStart w:id="27" w:name="_Toc12636"/>
      <w:bookmarkStart w:id="28" w:name="_Toc44236924"/>
      <w:bookmarkStart w:id="29" w:name="_Toc4741"/>
      <w:bookmarkStart w:id="30" w:name="_Toc1744"/>
      <w:bookmarkStart w:id="31" w:name="_Toc15738"/>
      <w:bookmarkStart w:id="32" w:name="_Toc972"/>
      <w:bookmarkStart w:id="33" w:name="_Toc17594"/>
      <w:bookmarkStart w:id="34" w:name="_Toc26785"/>
      <w:bookmarkStart w:id="35" w:name="_Toc26790"/>
      <w:bookmarkStart w:id="36" w:name="_Toc19435"/>
      <w:bookmarkStart w:id="37" w:name="_Toc2141"/>
      <w:r>
        <w:rPr>
          <w:rFonts w:hint="eastAsia"/>
        </w:rPr>
        <w:t>前</w:t>
      </w:r>
      <w:bookmarkStart w:id="38" w:name="BKQY"/>
      <w:r>
        <w:rPr>
          <w:rFonts w:hint="eastAsia" w:ascii="MS Mincho" w:hAnsi="MS Mincho" w:eastAsia="MS Mincho" w:cs="MS Mincho"/>
        </w:rPr>
        <w:t>  </w:t>
      </w:r>
      <w:r>
        <w:rPr>
          <w:rFonts w:hint="eastAsia"/>
        </w:rPr>
        <w:t>言</w:t>
      </w:r>
      <w:bookmarkEnd w:id="27"/>
      <w:bookmarkEnd w:id="28"/>
      <w:bookmarkEnd w:id="29"/>
      <w:bookmarkEnd w:id="30"/>
      <w:bookmarkEnd w:id="31"/>
      <w:bookmarkEnd w:id="32"/>
      <w:bookmarkEnd w:id="33"/>
      <w:bookmarkEnd w:id="34"/>
      <w:bookmarkEnd w:id="35"/>
      <w:bookmarkEnd w:id="36"/>
      <w:bookmarkEnd w:id="37"/>
      <w:bookmarkEnd w:id="38"/>
    </w:p>
    <w:p w14:paraId="0F94A2D5">
      <w:pPr>
        <w:spacing w:line="288" w:lineRule="auto"/>
        <w:ind w:firstLine="420"/>
        <w:rPr>
          <w:szCs w:val="21"/>
        </w:rPr>
      </w:pPr>
      <w:r>
        <w:rPr>
          <w:color w:val="000000"/>
        </w:rPr>
        <w:t>本文件</w:t>
      </w:r>
      <w:r>
        <w:rPr>
          <w:szCs w:val="21"/>
        </w:rPr>
        <w:t>按照GB/T 1.1—2020《标准化工作导则 第 1 部分：标准化文件的结构和起草规则》的规定起草。</w:t>
      </w:r>
    </w:p>
    <w:p w14:paraId="7685936A">
      <w:pPr>
        <w:pStyle w:val="41"/>
        <w:rPr>
          <w:rFonts w:hAnsi="宋体"/>
        </w:rPr>
      </w:pPr>
      <w:r>
        <w:rPr>
          <w:rFonts w:hint="eastAsia" w:hAnsi="宋体"/>
        </w:rPr>
        <w:t>本文件是DB42/T XXXX《生态环境监测安全管理技术规范》的第1部分。DB42/T XXXX分为如下</w:t>
      </w:r>
      <w:r>
        <w:rPr>
          <w:rFonts w:hint="eastAsia" w:hAnsi="宋体"/>
          <w:lang w:val="en-US" w:eastAsia="zh-CN"/>
        </w:rPr>
        <w:t>6个</w:t>
      </w:r>
      <w:r>
        <w:rPr>
          <w:rFonts w:hint="eastAsia" w:hAnsi="宋体"/>
        </w:rPr>
        <w:t>部分：</w:t>
      </w:r>
    </w:p>
    <w:p w14:paraId="3B26C776">
      <w:pPr>
        <w:pStyle w:val="41"/>
        <w:rPr>
          <w:rFonts w:hAnsi="宋体"/>
        </w:rPr>
      </w:pPr>
      <w:r>
        <w:rPr>
          <w:rFonts w:hint="eastAsia" w:hAnsi="宋体"/>
        </w:rPr>
        <w:t>——第1部分：总则；</w:t>
      </w:r>
    </w:p>
    <w:p w14:paraId="1CA5A73C">
      <w:pPr>
        <w:pStyle w:val="41"/>
        <w:rPr>
          <w:rFonts w:hAnsi="宋体"/>
        </w:rPr>
      </w:pPr>
      <w:r>
        <w:rPr>
          <w:rFonts w:hint="eastAsia" w:hAnsi="宋体"/>
        </w:rPr>
        <w:t>——第2部分：现场监测；</w:t>
      </w:r>
    </w:p>
    <w:p w14:paraId="6DB71767">
      <w:pPr>
        <w:pStyle w:val="41"/>
        <w:rPr>
          <w:rFonts w:hAnsi="宋体"/>
        </w:rPr>
      </w:pPr>
      <w:r>
        <w:rPr>
          <w:rFonts w:hint="eastAsia" w:hAnsi="宋体"/>
        </w:rPr>
        <w:t>——第3部分：实验室监测；</w:t>
      </w:r>
    </w:p>
    <w:p w14:paraId="1DD4134F">
      <w:pPr>
        <w:pStyle w:val="41"/>
        <w:rPr>
          <w:rFonts w:hAnsi="宋体"/>
        </w:rPr>
      </w:pPr>
      <w:r>
        <w:rPr>
          <w:rFonts w:hint="eastAsia" w:hAnsi="宋体"/>
        </w:rPr>
        <w:t>——第4部分：自动监测；</w:t>
      </w:r>
    </w:p>
    <w:p w14:paraId="65210EF7">
      <w:pPr>
        <w:pStyle w:val="41"/>
        <w:rPr>
          <w:rFonts w:hint="eastAsia" w:hAnsi="宋体"/>
        </w:rPr>
      </w:pPr>
      <w:r>
        <w:rPr>
          <w:rFonts w:hint="eastAsia" w:hAnsi="宋体"/>
        </w:rPr>
        <w:t>——第5部分：应急监测；</w:t>
      </w:r>
    </w:p>
    <w:p w14:paraId="439091C1">
      <w:pPr>
        <w:pStyle w:val="41"/>
        <w:rPr>
          <w:rFonts w:hint="eastAsia" w:hAnsi="宋体"/>
          <w:lang w:val="en-US" w:eastAsia="zh-CN"/>
        </w:rPr>
      </w:pPr>
      <w:r>
        <w:rPr>
          <w:rFonts w:hint="eastAsia" w:hAnsi="宋体"/>
          <w:color w:val="auto"/>
        </w:rPr>
        <w:t>——第</w:t>
      </w:r>
      <w:r>
        <w:rPr>
          <w:rFonts w:hint="eastAsia" w:hAnsi="宋体"/>
          <w:color w:val="auto"/>
          <w:lang w:val="en-US" w:eastAsia="zh-CN"/>
        </w:rPr>
        <w:t>6</w:t>
      </w:r>
      <w:r>
        <w:rPr>
          <w:rFonts w:hint="eastAsia" w:hAnsi="宋体"/>
          <w:color w:val="auto"/>
        </w:rPr>
        <w:t>部分：</w:t>
      </w:r>
      <w:r>
        <w:rPr>
          <w:rFonts w:hint="eastAsia" w:hAnsi="宋体"/>
          <w:color w:val="auto"/>
          <w:lang w:val="en-US" w:eastAsia="zh-CN"/>
        </w:rPr>
        <w:t>辐射</w:t>
      </w:r>
      <w:r>
        <w:rPr>
          <w:rFonts w:hint="eastAsia" w:hAnsi="宋体"/>
          <w:color w:val="auto"/>
        </w:rPr>
        <w:t>监测</w:t>
      </w:r>
      <w:r>
        <w:rPr>
          <w:rFonts w:hint="eastAsia" w:hAnsi="宋体"/>
          <w:color w:val="auto"/>
          <w:lang w:eastAsia="zh-CN"/>
        </w:rPr>
        <w:t>。</w:t>
      </w:r>
    </w:p>
    <w:p w14:paraId="48648254">
      <w:pPr>
        <w:pStyle w:val="41"/>
        <w:rPr>
          <w:rFonts w:hint="eastAsia" w:hAnsi="宋体"/>
        </w:rPr>
      </w:pPr>
      <w:r>
        <w:rPr>
          <w:rFonts w:hint="eastAsia" w:eastAsiaTheme="minorEastAsia"/>
          <w:szCs w:val="21"/>
        </w:rPr>
        <w:t>请注意本文件的某些内容可能涉及专利。本文件的发布机构不承担识别专利的责任</w:t>
      </w:r>
      <w:r>
        <w:rPr>
          <w:rFonts w:hint="eastAsia" w:hAnsi="宋体"/>
        </w:rPr>
        <w:t>。</w:t>
      </w:r>
    </w:p>
    <w:p w14:paraId="21C0E0C8">
      <w:pPr>
        <w:pStyle w:val="41"/>
        <w:rPr>
          <w:rFonts w:hint="default" w:hAnsi="宋体" w:eastAsia="宋体"/>
          <w:lang w:val="en-US" w:eastAsia="zh-CN"/>
        </w:rPr>
      </w:pPr>
      <w:r>
        <w:rPr>
          <w:rFonts w:hint="eastAsia" w:hAnsi="宋体"/>
          <w:lang w:val="en-US" w:eastAsia="zh-CN"/>
        </w:rPr>
        <w:t>本系列标准各部分在结构、术语和引用文件上保持一致，具体技术内容根据监测场景包括现场监测、实验室监测、自动监测、应急监测、辐射监测的特点差异化规定。</w:t>
      </w:r>
    </w:p>
    <w:p w14:paraId="6798B2B9">
      <w:pPr>
        <w:spacing w:line="288" w:lineRule="auto"/>
        <w:ind w:firstLine="420"/>
        <w:rPr>
          <w:szCs w:val="21"/>
        </w:rPr>
      </w:pPr>
      <w:r>
        <w:rPr>
          <w:szCs w:val="21"/>
        </w:rPr>
        <w:t>本文件由湖北省生态环境监测中心站提出。</w:t>
      </w:r>
    </w:p>
    <w:p w14:paraId="2A9D1FA3">
      <w:pPr>
        <w:spacing w:line="288" w:lineRule="auto"/>
        <w:ind w:firstLine="420"/>
        <w:rPr>
          <w:szCs w:val="21"/>
        </w:rPr>
      </w:pPr>
      <w:r>
        <w:rPr>
          <w:szCs w:val="21"/>
        </w:rPr>
        <w:t>本文件由湖北省生态环境厅归口。</w:t>
      </w:r>
    </w:p>
    <w:p w14:paraId="1ABFCB88">
      <w:pPr>
        <w:pStyle w:val="41"/>
        <w:rPr>
          <w:rFonts w:hAnsi="宋体" w:cs="宋体"/>
          <w:szCs w:val="21"/>
        </w:rPr>
      </w:pPr>
      <w:r>
        <w:rPr>
          <w:rFonts w:hint="eastAsia" w:hAnsi="宋体" w:cs="宋体"/>
          <w:szCs w:val="21"/>
        </w:rPr>
        <w:t>本</w:t>
      </w:r>
      <w:r>
        <w:rPr>
          <w:rFonts w:hint="eastAsia" w:hAnsi="宋体"/>
        </w:rPr>
        <w:t>文件</w:t>
      </w:r>
      <w:r>
        <w:rPr>
          <w:rFonts w:hint="eastAsia" w:hAnsi="宋体" w:cs="宋体"/>
          <w:szCs w:val="21"/>
        </w:rPr>
        <w:t>起草单位：湖北省生态环境监测中心站、湖北省生态环境厅荆州生态环境监测中心、湖北省生态环境厅武汉生态环境监测中心、湖北省标准化与质量研究院、湖北省市场监督管理宣传教育中心、武汉市宇驰检测技术有限公司。</w:t>
      </w:r>
    </w:p>
    <w:p w14:paraId="1E38CCC7">
      <w:pPr>
        <w:pStyle w:val="41"/>
        <w:rPr>
          <w:rFonts w:hAnsi="宋体" w:cs="宋体"/>
          <w:szCs w:val="21"/>
        </w:rPr>
      </w:pPr>
      <w:r>
        <w:rPr>
          <w:rFonts w:hint="eastAsia" w:hAnsi="宋体" w:cs="宋体"/>
          <w:szCs w:val="21"/>
        </w:rPr>
        <w:t>本</w:t>
      </w:r>
      <w:r>
        <w:rPr>
          <w:rFonts w:hint="eastAsia" w:hAnsi="宋体"/>
        </w:rPr>
        <w:t>文件</w:t>
      </w:r>
      <w:r>
        <w:rPr>
          <w:rFonts w:hint="eastAsia" w:hAnsi="宋体" w:cs="宋体"/>
          <w:szCs w:val="21"/>
        </w:rPr>
        <w:t>主要起草人：贺小敏、杨立群、张明涛、郑  易、沈龙娇、</w:t>
      </w:r>
      <w:r>
        <w:rPr>
          <w:rFonts w:hint="eastAsia" w:hAnsi="宋体" w:cs="宋体"/>
          <w:szCs w:val="21"/>
          <w:lang w:val="en-US" w:eastAsia="zh-CN"/>
        </w:rPr>
        <w:t xml:space="preserve">吴  </w:t>
      </w:r>
      <w:bookmarkStart w:id="279" w:name="_GoBack"/>
      <w:bookmarkEnd w:id="279"/>
      <w:r>
        <w:rPr>
          <w:rFonts w:hint="eastAsia" w:hAnsi="宋体" w:cs="宋体"/>
          <w:szCs w:val="21"/>
          <w:lang w:val="en-US" w:eastAsia="zh-CN"/>
        </w:rPr>
        <w:t>昊</w:t>
      </w:r>
      <w:r>
        <w:rPr>
          <w:rFonts w:hint="eastAsia" w:hAnsi="宋体" w:cs="宋体"/>
          <w:szCs w:val="21"/>
        </w:rPr>
        <w:t>、严  格、程继雄、</w:t>
      </w:r>
      <w:r>
        <w:rPr>
          <w:rFonts w:hint="eastAsia" w:hAnsi="宋体" w:cs="宋体"/>
          <w:szCs w:val="21"/>
          <w:lang w:val="en-US" w:eastAsia="zh-CN"/>
        </w:rPr>
        <w:t>段紫薇</w:t>
      </w:r>
      <w:r>
        <w:rPr>
          <w:rFonts w:hint="eastAsia" w:hAnsi="宋体" w:cs="宋体"/>
          <w:szCs w:val="21"/>
        </w:rPr>
        <w:t>、李  韬、刘  静、黄  荣、蔡江华、肖玲君、姜璐璐。</w:t>
      </w:r>
    </w:p>
    <w:p w14:paraId="1937A4C8">
      <w:pPr>
        <w:pStyle w:val="41"/>
        <w:spacing w:before="156" w:beforeLines="50" w:after="156" w:afterLines="50"/>
        <w:rPr>
          <w:rFonts w:hAnsi="宋体" w:cs="宋体"/>
          <w:szCs w:val="21"/>
        </w:rPr>
      </w:pPr>
      <w:r>
        <w:rPr>
          <w:rFonts w:hint="eastAsia" w:hAnsi="宋体" w:cs="宋体"/>
          <w:szCs w:val="21"/>
        </w:rPr>
        <w:t>本文件实施应用中的疑问，可咨询湖北省生态环境厅，联系电话</w:t>
      </w:r>
      <w:r>
        <w:rPr>
          <w:rFonts w:ascii="Times New Roman"/>
          <w:szCs w:val="21"/>
        </w:rPr>
        <w:t>：027-87167532，邮箱：</w:t>
      </w:r>
      <w:r>
        <w:fldChar w:fldCharType="begin"/>
      </w:r>
      <w:r>
        <w:instrText xml:space="preserve"> HYPERLINK "mailto:285706998@qq.com" </w:instrText>
      </w:r>
      <w:r>
        <w:fldChar w:fldCharType="separate"/>
      </w:r>
      <w:r>
        <w:rPr>
          <w:rStyle w:val="18"/>
          <w:rFonts w:ascii="Times New Roman"/>
        </w:rPr>
        <w:t>285706998@qq.com</w:t>
      </w:r>
      <w:r>
        <w:rPr>
          <w:rStyle w:val="18"/>
          <w:rFonts w:ascii="Times New Roman"/>
        </w:rPr>
        <w:fldChar w:fldCharType="end"/>
      </w:r>
      <w:r>
        <w:rPr>
          <w:rFonts w:ascii="Times New Roman"/>
          <w:szCs w:val="21"/>
        </w:rPr>
        <w:t>；对本文件的有关修改意见建议请反馈至湖北省生态环境监测中心站，联系电话：027-87614789，邮箱：</w:t>
      </w:r>
      <w:r>
        <w:fldChar w:fldCharType="begin"/>
      </w:r>
      <w:r>
        <w:instrText xml:space="preserve"> HYPERLINK "mailto:39208454@qq.com" </w:instrText>
      </w:r>
      <w:r>
        <w:fldChar w:fldCharType="separate"/>
      </w:r>
      <w:r>
        <w:rPr>
          <w:rStyle w:val="18"/>
          <w:rFonts w:ascii="Times New Roman"/>
        </w:rPr>
        <w:t>39208454@qq.com</w:t>
      </w:r>
      <w:r>
        <w:rPr>
          <w:rStyle w:val="18"/>
          <w:rFonts w:ascii="Times New Roman"/>
        </w:rPr>
        <w:fldChar w:fldCharType="end"/>
      </w:r>
      <w:r>
        <w:rPr>
          <w:rFonts w:ascii="Times New Roman"/>
          <w:szCs w:val="21"/>
        </w:rPr>
        <w:t>。</w:t>
      </w:r>
    </w:p>
    <w:p w14:paraId="452D6932">
      <w:pPr>
        <w:pStyle w:val="41"/>
        <w:spacing w:before="156" w:beforeLines="50" w:after="156" w:afterLines="50"/>
        <w:rPr>
          <w:rFonts w:hAnsi="宋体" w:cs="宋体"/>
          <w:szCs w:val="21"/>
        </w:rPr>
      </w:pPr>
    </w:p>
    <w:p w14:paraId="65FE9C60">
      <w:pPr>
        <w:pStyle w:val="41"/>
        <w:spacing w:before="156" w:beforeLines="50" w:after="156" w:afterLines="50"/>
        <w:sectPr>
          <w:footerReference r:id="rId7" w:type="default"/>
          <w:pgSz w:w="11906" w:h="16838"/>
          <w:pgMar w:top="567" w:right="1134" w:bottom="1134" w:left="1418" w:header="1418" w:footer="1134" w:gutter="0"/>
          <w:pgNumType w:fmt="upperRoman" w:start="1"/>
          <w:cols w:space="425" w:num="1"/>
          <w:formProt w:val="0"/>
          <w:docGrid w:type="lines" w:linePitch="312" w:charSpace="0"/>
        </w:sectPr>
      </w:pPr>
    </w:p>
    <w:p w14:paraId="723D9E81">
      <w:pPr>
        <w:pStyle w:val="42"/>
      </w:pPr>
      <w:bookmarkStart w:id="39" w:name="_Toc32521"/>
      <w:bookmarkStart w:id="40" w:name="_Toc7663"/>
      <w:bookmarkStart w:id="41" w:name="_Toc13720"/>
      <w:bookmarkStart w:id="42" w:name="_Toc24228"/>
      <w:bookmarkStart w:id="43" w:name="_Toc1684"/>
      <w:bookmarkStart w:id="44" w:name="_Toc24249"/>
      <w:bookmarkStart w:id="45" w:name="_Toc9049"/>
      <w:bookmarkStart w:id="46" w:name="_Toc25168"/>
      <w:bookmarkStart w:id="47" w:name="_Toc26503"/>
      <w:bookmarkStart w:id="48" w:name="_Toc14900"/>
      <w:bookmarkStart w:id="49" w:name="_Toc8123"/>
      <w:bookmarkStart w:id="50" w:name="_Toc143728334"/>
      <w:bookmarkStart w:id="51" w:name="_Toc143069162"/>
      <w:bookmarkStart w:id="52" w:name="_Toc3543"/>
      <w:bookmarkStart w:id="53" w:name="_Toc4661"/>
      <w:bookmarkStart w:id="54" w:name="_Toc23886"/>
      <w:bookmarkStart w:id="55" w:name="_Toc143075988"/>
      <w:r>
        <w:rPr>
          <w:rFonts w:hint="eastAsia"/>
        </w:rPr>
        <w:t>生态环境监测安全管理</w:t>
      </w:r>
      <w:bookmarkEnd w:id="39"/>
      <w:bookmarkEnd w:id="40"/>
      <w:r>
        <w:rPr>
          <w:rFonts w:hint="eastAsia"/>
        </w:rPr>
        <w:t xml:space="preserve">技术规范 </w:t>
      </w:r>
      <w:r>
        <w:t xml:space="preserve">                            </w:t>
      </w:r>
      <w:r>
        <w:rPr>
          <w:rFonts w:hint="eastAsia"/>
        </w:rPr>
        <w:t>第1部分：总则</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68322C6">
      <w:pPr>
        <w:pStyle w:val="44"/>
        <w:spacing w:before="240" w:after="240"/>
        <w:outlineLvl w:val="0"/>
        <w:rPr>
          <w:rFonts w:hAnsi="黑体" w:cs="黑体"/>
          <w:szCs w:val="21"/>
        </w:rPr>
      </w:pPr>
      <w:bookmarkStart w:id="56" w:name="_Toc21178"/>
      <w:bookmarkStart w:id="57" w:name="_Toc23016"/>
      <w:bookmarkStart w:id="58" w:name="_Toc9297"/>
      <w:bookmarkStart w:id="59" w:name="_Toc2936"/>
      <w:bookmarkStart w:id="60" w:name="_Toc6525"/>
      <w:bookmarkStart w:id="61" w:name="_Toc5319"/>
      <w:bookmarkStart w:id="62" w:name="_Toc22758"/>
      <w:bookmarkStart w:id="63" w:name="_Toc31649"/>
      <w:bookmarkStart w:id="64" w:name="_Toc14732"/>
      <w:bookmarkStart w:id="65" w:name="_Toc236"/>
      <w:r>
        <w:rPr>
          <w:rFonts w:hint="eastAsia" w:hAnsi="黑体" w:cs="黑体"/>
          <w:szCs w:val="21"/>
        </w:rPr>
        <w:t>范围</w:t>
      </w:r>
      <w:bookmarkEnd w:id="56"/>
      <w:bookmarkEnd w:id="57"/>
      <w:bookmarkEnd w:id="58"/>
      <w:bookmarkEnd w:id="59"/>
      <w:bookmarkEnd w:id="60"/>
      <w:bookmarkEnd w:id="61"/>
      <w:bookmarkEnd w:id="62"/>
      <w:bookmarkEnd w:id="63"/>
      <w:bookmarkEnd w:id="64"/>
      <w:bookmarkEnd w:id="65"/>
    </w:p>
    <w:p w14:paraId="53E36185">
      <w:pPr>
        <w:pStyle w:val="41"/>
        <w:keepNext w:val="0"/>
        <w:keepLines w:val="0"/>
        <w:pageBreakBefore w:val="0"/>
        <w:widowControl/>
        <w:kinsoku/>
        <w:wordWrap/>
        <w:overflowPunct/>
        <w:topLinePunct w:val="0"/>
        <w:autoSpaceDE w:val="0"/>
        <w:autoSpaceDN w:val="0"/>
        <w:bidi w:val="0"/>
        <w:adjustRightInd/>
        <w:snapToGrid/>
        <w:spacing w:before="0" w:beforeLines="0" w:after="0" w:afterLines="0" w:line="240" w:lineRule="auto"/>
        <w:textAlignment w:val="auto"/>
        <w:rPr>
          <w:rFonts w:hAnsi="宋体" w:cs="宋体"/>
          <w:szCs w:val="21"/>
        </w:rPr>
      </w:pPr>
      <w:r>
        <w:rPr>
          <w:rFonts w:hint="eastAsia" w:hAnsi="宋体" w:cs="宋体"/>
          <w:szCs w:val="21"/>
        </w:rPr>
        <w:t>本文件规定了</w:t>
      </w:r>
      <w:r>
        <w:rPr>
          <w:rFonts w:hint="eastAsia"/>
        </w:rPr>
        <w:t>生态环境监测</w:t>
      </w:r>
      <w:r>
        <w:rPr>
          <w:rFonts w:hint="eastAsia" w:hAnsi="宋体" w:cs="宋体"/>
          <w:szCs w:val="21"/>
          <w:lang w:val="en-US" w:eastAsia="zh-CN"/>
        </w:rPr>
        <w:t>活动中</w:t>
      </w:r>
      <w:r>
        <w:rPr>
          <w:rFonts w:hint="eastAsia"/>
          <w:lang w:val="en-US" w:eastAsia="zh-CN"/>
        </w:rPr>
        <w:t>人员、场所环境、设施设备、物料、危险源辨识、风险因素的评价以及控制措施的安全管理的</w:t>
      </w:r>
      <w:r>
        <w:rPr>
          <w:rFonts w:hint="eastAsia"/>
        </w:rPr>
        <w:t>基本原则和通用要求</w:t>
      </w:r>
      <w:r>
        <w:rPr>
          <w:rFonts w:hint="eastAsia" w:hAnsi="宋体" w:cs="宋体"/>
          <w:szCs w:val="21"/>
        </w:rPr>
        <w:t>。</w:t>
      </w:r>
    </w:p>
    <w:p w14:paraId="35C0E165">
      <w:pPr>
        <w:pStyle w:val="41"/>
        <w:keepNext w:val="0"/>
        <w:keepLines w:val="0"/>
        <w:pageBreakBefore w:val="0"/>
        <w:widowControl/>
        <w:kinsoku/>
        <w:wordWrap/>
        <w:overflowPunct/>
        <w:topLinePunct w:val="0"/>
        <w:autoSpaceDE w:val="0"/>
        <w:autoSpaceDN w:val="0"/>
        <w:bidi w:val="0"/>
        <w:adjustRightInd/>
        <w:snapToGrid/>
        <w:spacing w:before="0" w:beforeLines="0" w:after="0" w:afterLines="0" w:line="240" w:lineRule="auto"/>
        <w:textAlignment w:val="auto"/>
        <w:rPr>
          <w:rFonts w:hint="default" w:hAnsi="宋体" w:eastAsia="宋体" w:cs="宋体"/>
          <w:szCs w:val="21"/>
          <w:lang w:val="en-US" w:eastAsia="zh-CN"/>
        </w:rPr>
      </w:pPr>
      <w:r>
        <w:rPr>
          <w:rFonts w:hint="eastAsia" w:hAnsi="宋体" w:cs="宋体"/>
          <w:szCs w:val="21"/>
        </w:rPr>
        <w:t>本文件适用于生态环境监测</w:t>
      </w:r>
      <w:r>
        <w:rPr>
          <w:rFonts w:hint="eastAsia"/>
          <w:lang w:val="en-US" w:eastAsia="zh-CN"/>
        </w:rPr>
        <w:t>活动的安全管理工作。</w:t>
      </w:r>
    </w:p>
    <w:p w14:paraId="46F205EA">
      <w:pPr>
        <w:pStyle w:val="44"/>
        <w:spacing w:before="240" w:after="240"/>
        <w:outlineLvl w:val="0"/>
        <w:rPr>
          <w:rFonts w:hAnsi="黑体" w:cs="黑体"/>
          <w:szCs w:val="21"/>
        </w:rPr>
      </w:pPr>
      <w:bookmarkStart w:id="66" w:name="_Toc28576"/>
      <w:bookmarkStart w:id="67" w:name="_Toc24582"/>
      <w:bookmarkStart w:id="68" w:name="_Toc22738"/>
      <w:bookmarkStart w:id="69" w:name="_Toc5947"/>
      <w:bookmarkStart w:id="70" w:name="_Toc25587"/>
      <w:bookmarkStart w:id="71" w:name="_Toc20546"/>
      <w:bookmarkStart w:id="72" w:name="_Toc1455"/>
      <w:bookmarkStart w:id="73" w:name="_Toc13274"/>
      <w:bookmarkStart w:id="74" w:name="_Toc26606"/>
      <w:bookmarkStart w:id="75" w:name="_Toc15737"/>
      <w:bookmarkStart w:id="76" w:name="_Toc24806"/>
      <w:r>
        <w:rPr>
          <w:rFonts w:hint="eastAsia" w:hAnsi="黑体" w:cs="黑体"/>
          <w:szCs w:val="21"/>
        </w:rPr>
        <w:t>规范性引用文件</w:t>
      </w:r>
      <w:bookmarkEnd w:id="66"/>
      <w:bookmarkEnd w:id="67"/>
      <w:bookmarkEnd w:id="68"/>
      <w:bookmarkEnd w:id="69"/>
      <w:bookmarkEnd w:id="70"/>
      <w:bookmarkEnd w:id="71"/>
      <w:bookmarkEnd w:id="72"/>
      <w:bookmarkEnd w:id="73"/>
      <w:bookmarkEnd w:id="74"/>
      <w:bookmarkEnd w:id="75"/>
      <w:bookmarkEnd w:id="76"/>
    </w:p>
    <w:p w14:paraId="5E6CCC48">
      <w:pPr>
        <w:pStyle w:val="41"/>
        <w:keepNext w:val="0"/>
        <w:keepLines w:val="0"/>
        <w:pageBreakBefore w:val="0"/>
        <w:widowControl/>
        <w:kinsoku/>
        <w:wordWrap/>
        <w:overflowPunct/>
        <w:topLinePunct w:val="0"/>
        <w:autoSpaceDE w:val="0"/>
        <w:autoSpaceDN w:val="0"/>
        <w:bidi w:val="0"/>
        <w:adjustRightInd/>
        <w:snapToGrid/>
        <w:textAlignment w:val="auto"/>
        <w:rPr>
          <w:rFonts w:hAnsi="宋体" w:cs="宋体"/>
          <w:szCs w:val="21"/>
        </w:rPr>
      </w:pPr>
      <w:r>
        <w:rPr>
          <w:rFonts w:hint="eastAsia" w:hAnsi="宋体" w:cs="宋体"/>
          <w:szCs w:val="21"/>
        </w:rPr>
        <w:t>下列文件中的内容通过文中的规范性引用而构成本文件必不可少的条款。其中，注日期的引用文件，仅该日期对应的版本适用于本文件；</w:t>
      </w:r>
      <w:r>
        <w:rPr>
          <w:rFonts w:hint="eastAsia" w:hAnsi="宋体" w:cs="宋体"/>
          <w:szCs w:val="21"/>
          <w:lang w:val="en-US" w:eastAsia="zh-CN"/>
        </w:rPr>
        <w:t>凡</w:t>
      </w:r>
      <w:r>
        <w:rPr>
          <w:rFonts w:hint="eastAsia" w:hAnsi="宋体" w:cs="宋体"/>
          <w:szCs w:val="21"/>
        </w:rPr>
        <w:t xml:space="preserve">不注日期的引用文件，其最新版本（包括所有的修改单）适用于本文件。 </w:t>
      </w:r>
    </w:p>
    <w:p w14:paraId="621D3615">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 xml:space="preserve"> 2894</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安全标志及其使用导则</w:t>
      </w:r>
    </w:p>
    <w:p w14:paraId="379E46BD">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 xml:space="preserve"> 13495.1</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消防安全标志第1部分：标志</w:t>
      </w:r>
    </w:p>
    <w:p w14:paraId="2822B17C">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w:t>
      </w:r>
      <w:r>
        <w:rPr>
          <w:rFonts w:ascii="Times New Roman" w:hAnsi="Times New Roman" w:cs="Times New Roman"/>
          <w:color w:val="000000" w:themeColor="text1"/>
          <w:szCs w:val="21"/>
          <w14:textFill>
            <w14:solidFill>
              <w14:schemeClr w14:val="tx1"/>
            </w14:solidFill>
          </w14:textFill>
        </w:rPr>
        <w:t>B</w:t>
      </w:r>
      <w:r>
        <w:rPr>
          <w:rFonts w:hint="default" w:ascii="Times New Roman" w:hAnsi="Times New Roman" w:cs="Times New Roman"/>
          <w:color w:val="000000" w:themeColor="text1"/>
          <w:szCs w:val="21"/>
          <w14:textFill>
            <w14:solidFill>
              <w14:schemeClr w14:val="tx1"/>
            </w14:solidFill>
          </w14:textFill>
        </w:rPr>
        <w:t xml:space="preserve"> 15258</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化学品安全标签编写规定</w:t>
      </w:r>
    </w:p>
    <w:p w14:paraId="1C0605D5">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 xml:space="preserve"> 15603</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lang w:val="en-US" w:eastAsia="zh-CN"/>
          <w14:textFill>
            <w14:solidFill>
              <w14:schemeClr w14:val="tx1"/>
            </w14:solidFill>
          </w14:textFill>
        </w:rPr>
        <w:t>危险化学品仓库储存</w:t>
      </w:r>
      <w:r>
        <w:rPr>
          <w:rFonts w:hint="default" w:ascii="Times New Roman" w:hAnsi="Times New Roman" w:cs="Times New Roman"/>
          <w:color w:val="000000" w:themeColor="text1"/>
          <w:szCs w:val="21"/>
          <w14:textFill>
            <w14:solidFill>
              <w14:schemeClr w14:val="tx1"/>
            </w14:solidFill>
          </w14:textFill>
        </w:rPr>
        <w:t>通则</w:t>
      </w:r>
    </w:p>
    <w:p w14:paraId="525B9185">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 xml:space="preserve"> 16804</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气瓶警示标签</w:t>
      </w:r>
    </w:p>
    <w:p w14:paraId="28B9D719">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 xml:space="preserve"> 18218</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危险化学品重大危险源辨识</w:t>
      </w:r>
    </w:p>
    <w:p w14:paraId="717C3B2F">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GB18597  危险废物贮存污染控制标准</w:t>
      </w:r>
    </w:p>
    <w:p w14:paraId="084758EB">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GB 19489  实验室生物安全通用要求</w:t>
      </w:r>
    </w:p>
    <w:p w14:paraId="2DBCCD5C">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 xml:space="preserve"> 30000</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化学品分类和标签规范</w:t>
      </w:r>
    </w:p>
    <w:p w14:paraId="690130F0">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GB 39800.1</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lang w:val="en-US" w:eastAsia="zh-CN"/>
          <w14:textFill>
            <w14:solidFill>
              <w14:schemeClr w14:val="tx1"/>
            </w14:solidFill>
          </w14:textFill>
        </w:rPr>
        <w:t>个体防护装备配备规范 第1部分：总则</w:t>
      </w:r>
    </w:p>
    <w:p w14:paraId="70D364D0">
      <w:pPr>
        <w:pStyle w:val="41"/>
        <w:keepNext w:val="0"/>
        <w:keepLines w:val="0"/>
        <w:pageBreakBefore w:val="0"/>
        <w:widowControl/>
        <w:kinsoku/>
        <w:wordWrap/>
        <w:overflowPunct/>
        <w:topLinePunct w:val="0"/>
        <w:autoSpaceDE w:val="0"/>
        <w:autoSpaceDN w:val="0"/>
        <w:bidi w:val="0"/>
        <w:adjustRightInd/>
        <w:snapToGrid/>
        <w:textAlignment w:val="auto"/>
        <w:rPr>
          <w:rFonts w:hint="eastAsia" w:ascii="Times New Roman" w:cs="Times New Roman"/>
          <w:color w:val="000000" w:themeColor="text1"/>
          <w:szCs w:val="21"/>
          <w:lang w:val="en-US" w:eastAsia="zh-CN"/>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GB/T 2099  （所有部分）家用和类似用途插头插座</w:t>
      </w:r>
    </w:p>
    <w:p w14:paraId="504DF90A">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GB/T 6829  剩余电流动作保护电器（RCD）的一般要求</w:t>
      </w:r>
    </w:p>
    <w:p w14:paraId="02B29E59">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w:t>
      </w:r>
      <w:r>
        <w:rPr>
          <w:rFonts w:hint="default" w:ascii="Times New Roman" w:hAnsi="Times New Roman" w:cs="Times New Roman"/>
          <w:color w:val="000000" w:themeColor="text1"/>
          <w:szCs w:val="21"/>
          <w14:textFill>
            <w14:solidFill>
              <w14:schemeClr w14:val="tx1"/>
            </w14:solidFill>
          </w14:textFill>
        </w:rPr>
        <w:t xml:space="preserve"> 7144</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气瓶颜色标志</w:t>
      </w:r>
    </w:p>
    <w:p w14:paraId="63025644">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GB/T 8897  （所有部分）原电池</w:t>
      </w:r>
    </w:p>
    <w:p w14:paraId="6F16E37E">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13861</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生产过程危险和有害因素分类与代码</w:t>
      </w:r>
    </w:p>
    <w:p w14:paraId="2D8651CA">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GB/T 16895.21  低压电气装置第4-41部分：安全防护 电击防护</w:t>
      </w:r>
    </w:p>
    <w:p w14:paraId="41178A5C">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GB/T 18871</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lang w:val="en-US" w:eastAsia="zh-CN"/>
          <w14:textFill>
            <w14:solidFill>
              <w14:schemeClr w14:val="tx1"/>
            </w14:solidFill>
          </w14:textFill>
        </w:rPr>
        <w:t>电离辐射防护与辐射源安全基本标准</w:t>
      </w:r>
    </w:p>
    <w:p w14:paraId="7C52D9D0">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w:t>
      </w:r>
      <w:r>
        <w:rPr>
          <w:rFonts w:hint="default" w:ascii="Times New Roman" w:hAnsi="Times New Roman" w:cs="Times New Roman"/>
          <w:color w:val="000000" w:themeColor="text1"/>
          <w:szCs w:val="21"/>
          <w14:textFill>
            <w14:solidFill>
              <w14:schemeClr w14:val="tx1"/>
            </w14:solidFill>
          </w14:textFill>
        </w:rPr>
        <w:t>B</w:t>
      </w:r>
      <w:r>
        <w:rPr>
          <w:rFonts w:ascii="Times New Roman" w:hAnsi="Times New Roman" w:cs="Times New Roman"/>
          <w:color w:val="000000" w:themeColor="text1"/>
          <w:szCs w:val="21"/>
          <w14:textFill>
            <w14:solidFill>
              <w14:schemeClr w14:val="tx1"/>
            </w14:solidFill>
          </w14:textFill>
        </w:rPr>
        <w:t>/T</w:t>
      </w:r>
      <w:r>
        <w:rPr>
          <w:rFonts w:hint="default" w:ascii="Times New Roman" w:hAnsi="Times New Roman" w:cs="Times New Roman"/>
          <w:color w:val="000000" w:themeColor="text1"/>
          <w:szCs w:val="21"/>
          <w14:textFill>
            <w14:solidFill>
              <w14:schemeClr w14:val="tx1"/>
            </w14:solidFill>
          </w14:textFill>
        </w:rPr>
        <w:t xml:space="preserve"> 19212</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变压器、电抗器、电源装置及其组合的安全</w:t>
      </w:r>
    </w:p>
    <w:p w14:paraId="4DBE025F">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w:t>
      </w:r>
      <w:r>
        <w:rPr>
          <w:rFonts w:hint="default" w:ascii="Times New Roman" w:hAnsi="Times New Roman" w:cs="Times New Roman"/>
          <w:color w:val="000000" w:themeColor="text1"/>
          <w:szCs w:val="21"/>
          <w14:textFill>
            <w14:solidFill>
              <w14:schemeClr w14:val="tx1"/>
            </w14:solidFill>
          </w14:textFill>
        </w:rPr>
        <w:t xml:space="preserve"> 19637</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电器附件家用和类似用途电缆卷盘</w:t>
      </w:r>
    </w:p>
    <w:p w14:paraId="1B23C12D">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w:t>
      </w:r>
      <w:r>
        <w:rPr>
          <w:rFonts w:hint="default" w:ascii="Times New Roman" w:hAnsi="Times New Roman" w:cs="Times New Roman"/>
          <w:color w:val="000000" w:themeColor="text1"/>
          <w:szCs w:val="21"/>
          <w14:textFill>
            <w14:solidFill>
              <w14:schemeClr w14:val="tx1"/>
            </w14:solidFill>
          </w14:textFill>
        </w:rPr>
        <w:t>/T 27476</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检测实验室安全</w:t>
      </w:r>
    </w:p>
    <w:p w14:paraId="3D5BF417">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GB/T 33000</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lang w:val="en-US" w:eastAsia="zh-CN"/>
          <w14:textFill>
            <w14:solidFill>
              <w14:schemeClr w14:val="tx1"/>
            </w14:solidFill>
          </w14:textFill>
        </w:rPr>
        <w:t>企业安全生产标准化基本规范</w:t>
      </w:r>
    </w:p>
    <w:p w14:paraId="6EF59E0C">
      <w:pPr>
        <w:pStyle w:val="41"/>
        <w:keepNext w:val="0"/>
        <w:keepLines w:val="0"/>
        <w:pageBreakBefore w:val="0"/>
        <w:widowControl/>
        <w:kinsoku/>
        <w:wordWrap/>
        <w:overflowPunct/>
        <w:topLinePunct w:val="0"/>
        <w:autoSpaceDE w:val="0"/>
        <w:autoSpaceDN w:val="0"/>
        <w:bidi w:val="0"/>
        <w:adjustRightInd/>
        <w:snapToGrid/>
        <w:textAlignment w:val="auto"/>
        <w:rPr>
          <w:rFonts w:ascii="Times New Roman" w:hAnsi="Times New Roman" w:cs="Times New Roman"/>
          <w:color w:val="000000" w:themeColor="text1"/>
          <w:szCs w:val="21"/>
          <w14:textFill>
            <w14:solidFill>
              <w14:schemeClr w14:val="tx1"/>
            </w14:solidFill>
          </w14:textFill>
        </w:rPr>
      </w:pPr>
      <w:bookmarkStart w:id="77" w:name="_Hlk145966015"/>
      <w:r>
        <w:rPr>
          <w:rFonts w:ascii="Times New Roman" w:hAnsi="Times New Roman" w:cs="Times New Roman"/>
          <w:color w:val="000000" w:themeColor="text1"/>
          <w:szCs w:val="21"/>
          <w14:textFill>
            <w14:solidFill>
              <w14:schemeClr w14:val="tx1"/>
            </w14:solidFill>
          </w14:textFill>
        </w:rPr>
        <w:t>GB/T</w:t>
      </w:r>
      <w:r>
        <w:rPr>
          <w:rFonts w:hint="default" w:ascii="Times New Roman" w:hAnsi="Times New Roman" w:cs="Times New Roman"/>
          <w:color w:val="000000" w:themeColor="text1"/>
          <w:szCs w:val="21"/>
          <w14:textFill>
            <w14:solidFill>
              <w14:schemeClr w14:val="tx1"/>
            </w14:solidFill>
          </w14:textFill>
        </w:rPr>
        <w:t xml:space="preserve"> 33587</w:t>
      </w:r>
      <w:bookmarkEnd w:id="77"/>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充电电气系统与设备安全导则</w:t>
      </w:r>
    </w:p>
    <w:p w14:paraId="59FC211B">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FF0000"/>
          <w:szCs w:val="21"/>
          <w:lang w:val="en-US" w:eastAsia="zh-CN"/>
        </w:rPr>
      </w:pPr>
      <w:bookmarkStart w:id="78" w:name="_Toc5015"/>
      <w:r>
        <w:rPr>
          <w:rFonts w:hint="eastAsia" w:ascii="Times New Roman" w:cs="Times New Roman"/>
          <w:color w:val="000000" w:themeColor="text1"/>
          <w:szCs w:val="21"/>
          <w:lang w:val="en-US" w:eastAsia="zh-CN"/>
          <w14:textFill>
            <w14:solidFill>
              <w14:schemeClr w14:val="tx1"/>
            </w14:solidFill>
          </w14:textFill>
        </w:rPr>
        <w:t>GB/T 45001  职业健康安全管理体系要求及使用指南</w:t>
      </w:r>
    </w:p>
    <w:p w14:paraId="3318965E">
      <w:pPr>
        <w:pStyle w:val="41"/>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GBZ2.1</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lang w:val="en-US" w:eastAsia="zh-CN"/>
          <w14:textFill>
            <w14:solidFill>
              <w14:schemeClr w14:val="tx1"/>
            </w14:solidFill>
          </w14:textFill>
        </w:rPr>
        <w:t>工作场所有害因素职业接触限值 第一部分：化学有害因素</w:t>
      </w:r>
    </w:p>
    <w:p w14:paraId="39F2B079">
      <w:pPr>
        <w:pStyle w:val="41"/>
        <w:keepNext w:val="0"/>
        <w:keepLines w:val="0"/>
        <w:pageBreakBefore w:val="0"/>
        <w:widowControl/>
        <w:kinsoku/>
        <w:wordWrap/>
        <w:overflowPunct/>
        <w:topLinePunct w:val="0"/>
        <w:autoSpaceDE w:val="0"/>
        <w:autoSpaceDN w:val="0"/>
        <w:bidi w:val="0"/>
        <w:adjustRightInd/>
        <w:snapToGrid/>
        <w:textAlignment w:val="auto"/>
        <w:rPr>
          <w:rFonts w:hint="default" w:hAnsi="宋体" w:eastAsia="宋体" w:cs="宋体"/>
          <w:color w:val="FF0000"/>
          <w:szCs w:val="21"/>
          <w:lang w:val="en-US" w:eastAsia="zh-CN"/>
        </w:rPr>
      </w:pPr>
      <w:r>
        <w:rPr>
          <w:rFonts w:hint="default" w:ascii="Times New Roman" w:hAnsi="Times New Roman" w:cs="Times New Roman"/>
          <w:color w:val="000000" w:themeColor="text1"/>
          <w:szCs w:val="21"/>
          <w:lang w:val="en-US" w:eastAsia="zh-CN"/>
          <w14:textFill>
            <w14:solidFill>
              <w14:schemeClr w14:val="tx1"/>
            </w14:solidFill>
          </w14:textFill>
        </w:rPr>
        <w:t>GBZ2.2</w:t>
      </w:r>
      <w:r>
        <w:rPr>
          <w:rFonts w:hint="eastAsia" w:hAnsi="宋体" w:cs="宋体"/>
          <w:color w:val="000000" w:themeColor="text1"/>
          <w:szCs w:val="21"/>
          <w:lang w:val="en-US" w:eastAsia="zh-CN"/>
          <w14:textFill>
            <w14:solidFill>
              <w14:schemeClr w14:val="tx1"/>
            </w14:solidFill>
          </w14:textFill>
        </w:rPr>
        <w:t xml:space="preserve">  工作场所有害因素职业接触限值 第二部分：物理因素</w:t>
      </w:r>
    </w:p>
    <w:p w14:paraId="37C656AF">
      <w:pPr>
        <w:pStyle w:val="44"/>
        <w:spacing w:before="240" w:after="240"/>
        <w:outlineLvl w:val="0"/>
        <w:rPr>
          <w:rFonts w:hAnsi="黑体" w:cs="黑体"/>
          <w:szCs w:val="21"/>
        </w:rPr>
      </w:pPr>
      <w:bookmarkStart w:id="79" w:name="_Toc17482"/>
      <w:bookmarkStart w:id="80" w:name="_Toc16784"/>
      <w:bookmarkStart w:id="81" w:name="_Toc16686"/>
      <w:bookmarkStart w:id="82" w:name="_Toc15107"/>
      <w:bookmarkStart w:id="83" w:name="_Toc13967"/>
      <w:bookmarkStart w:id="84" w:name="_Toc26678"/>
      <w:bookmarkStart w:id="85" w:name="_Toc25370"/>
      <w:bookmarkStart w:id="86" w:name="_Toc8889"/>
      <w:bookmarkStart w:id="87" w:name="_Toc20313"/>
      <w:r>
        <w:rPr>
          <w:rFonts w:hint="eastAsia" w:hAnsi="黑体" w:cs="黑体"/>
          <w:szCs w:val="21"/>
        </w:rPr>
        <w:t>术语和定义</w:t>
      </w:r>
      <w:bookmarkEnd w:id="78"/>
      <w:bookmarkEnd w:id="79"/>
      <w:bookmarkEnd w:id="80"/>
      <w:bookmarkEnd w:id="81"/>
      <w:bookmarkEnd w:id="82"/>
      <w:bookmarkEnd w:id="83"/>
      <w:bookmarkEnd w:id="84"/>
      <w:bookmarkEnd w:id="85"/>
      <w:bookmarkEnd w:id="86"/>
      <w:bookmarkEnd w:id="87"/>
    </w:p>
    <w:p w14:paraId="486B932A">
      <w:pPr>
        <w:widowControl/>
        <w:spacing w:line="288" w:lineRule="auto"/>
        <w:ind w:firstLine="420" w:firstLineChars="200"/>
        <w:rPr>
          <w:rFonts w:hint="eastAsia" w:ascii="Times New Roman" w:hAnsi="Times New Roman" w:eastAsiaTheme="minorEastAsia"/>
          <w:kern w:val="0"/>
          <w:szCs w:val="21"/>
          <w:lang w:eastAsia="zh-CN"/>
        </w:rPr>
      </w:pPr>
      <w:r>
        <w:rPr>
          <w:rFonts w:hint="eastAsia"/>
        </w:rPr>
        <w:t>下列术语和定义适用于本文件。</w:t>
      </w:r>
    </w:p>
    <w:p w14:paraId="45B025F0">
      <w:pPr>
        <w:pStyle w:val="45"/>
        <w:spacing w:before="120" w:after="120"/>
        <w:rPr>
          <w:rFonts w:hAnsi="黑体" w:cs="黑体"/>
        </w:rPr>
      </w:pPr>
      <w:r>
        <w:rPr>
          <w:rFonts w:hint="eastAsia" w:hAnsi="黑体" w:cs="黑体"/>
        </w:rPr>
        <w:t xml:space="preserve">生态环境监测 </w:t>
      </w:r>
      <w:r>
        <w:rPr>
          <w:rFonts w:ascii="Times New Roman" w:hAnsi="Times New Roman"/>
        </w:rPr>
        <w:t>eco</w:t>
      </w:r>
      <w:r>
        <w:rPr>
          <w:rFonts w:hint="default" w:ascii="Times New Roman" w:hAnsi="Times New Roman"/>
          <w:lang w:val="en-US" w:eastAsia="zh-CN"/>
        </w:rPr>
        <w:t>-</w:t>
      </w:r>
      <w:r>
        <w:rPr>
          <w:rFonts w:ascii="Times New Roman" w:hAnsi="Times New Roman"/>
        </w:rPr>
        <w:t>environment</w:t>
      </w:r>
      <w:r>
        <w:rPr>
          <w:rFonts w:hint="eastAsia" w:ascii="Times New Roman"/>
          <w:lang w:val="en-US" w:eastAsia="zh-CN"/>
        </w:rPr>
        <w:t>al</w:t>
      </w:r>
      <w:r>
        <w:rPr>
          <w:rFonts w:ascii="Times New Roman" w:hAnsi="Times New Roman"/>
        </w:rPr>
        <w:t xml:space="preserve"> monitoring</w:t>
      </w:r>
      <w:r>
        <w:rPr>
          <w:rFonts w:ascii="Times New Roman" w:hAnsi="Times New Roman" w:cs="Times New Roman"/>
        </w:rPr>
        <w:t xml:space="preserve"> </w:t>
      </w:r>
    </w:p>
    <w:p w14:paraId="71BE882C">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kern w:val="0"/>
          <w:szCs w:val="21"/>
          <w:lang w:val="en-US" w:eastAsia="zh-CN"/>
        </w:rPr>
      </w:pPr>
      <w:r>
        <w:rPr>
          <w:rFonts w:hint="eastAsia" w:ascii="Times New Roman" w:hAnsi="Times New Roman"/>
          <w:kern w:val="0"/>
          <w:szCs w:val="21"/>
          <w:lang w:val="en-US" w:eastAsia="zh-CN"/>
        </w:rPr>
        <w:t>运用化学、物理、生物等技术手段，针对水和废水、环境空气、废气、海水、土壤、沉积物、固体废物、生物、噪声、振动、辐射等开展环境质量和污染排放的监测（检测）活动。</w:t>
      </w:r>
    </w:p>
    <w:p w14:paraId="6E1DD25D">
      <w:pPr>
        <w:pStyle w:val="45"/>
        <w:spacing w:before="120" w:after="12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cs="Times New Roman"/>
          <w:color w:val="000000" w:themeColor="text1"/>
          <w:lang w:val="en-US" w:eastAsia="zh-CN"/>
          <w14:textFill>
            <w14:solidFill>
              <w14:schemeClr w14:val="tx1"/>
            </w14:solidFill>
          </w14:textFill>
        </w:rPr>
        <w:t xml:space="preserve">生态环境监测机构 eco-environmental monitoring institutions </w:t>
      </w:r>
    </w:p>
    <w:p w14:paraId="74D731DA">
      <w:pPr>
        <w:pStyle w:val="41"/>
        <w:rPr>
          <w:rFonts w:hint="default"/>
          <w:lang w:val="en-US" w:eastAsia="zh-CN"/>
        </w:rPr>
      </w:pPr>
      <w:r>
        <w:rPr>
          <w:rFonts w:hint="eastAsia" w:ascii="Times New Roman" w:cs="Times New Roman"/>
          <w:color w:val="000000" w:themeColor="text1"/>
          <w:lang w:val="en-US" w:eastAsia="zh-CN"/>
          <w14:textFill>
            <w14:solidFill>
              <w14:schemeClr w14:val="tx1"/>
            </w14:solidFill>
          </w14:textFill>
        </w:rPr>
        <w:t>依法成立，依据相关标准或规范开展生态环境监测，向社会出具具有证明作用的数据、结果，并能够承担相应法律责任的专业技术机构。</w:t>
      </w:r>
    </w:p>
    <w:p w14:paraId="644D4063">
      <w:pPr>
        <w:pStyle w:val="45"/>
        <w:spacing w:before="120" w:after="12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安全管理 safety management</w:t>
      </w:r>
    </w:p>
    <w:p w14:paraId="5511FE2D">
      <w:pPr>
        <w:ind w:firstLine="42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针对生态环境监测活动中可能对人员、设备、环境造成的危害，采取预防、控制和应急措施的全过程管理。</w:t>
      </w:r>
    </w:p>
    <w:p w14:paraId="35A3EE31">
      <w:pPr>
        <w:ind w:firstLine="420"/>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[来源：GB/T 45001]</w:t>
      </w:r>
    </w:p>
    <w:p w14:paraId="1DC0503B">
      <w:pPr>
        <w:pStyle w:val="45"/>
        <w:spacing w:before="120" w:after="120"/>
        <w:rPr>
          <w:rFonts w:hint="default"/>
          <w:lang w:val="en-US"/>
        </w:rPr>
      </w:pPr>
      <w:r>
        <w:rPr>
          <w:rFonts w:hint="eastAsia"/>
          <w:lang w:val="en-US" w:eastAsia="zh-CN"/>
        </w:rPr>
        <w:t>危险源</w:t>
      </w:r>
      <w:r>
        <w:rPr>
          <w:rFonts w:hint="eastAsia"/>
        </w:rPr>
        <w:t xml:space="preserve"> </w:t>
      </w:r>
      <w:r>
        <w:rPr>
          <w:rFonts w:hint="default" w:ascii="Times New Roman"/>
          <w:szCs w:val="21"/>
        </w:rPr>
        <w:t>dangerous source</w:t>
      </w:r>
    </w:p>
    <w:p w14:paraId="3E9B0CE0">
      <w:pPr>
        <w:pStyle w:val="41"/>
        <w:rPr>
          <w:rFonts w:hint="eastAsia" w:hAnsi="宋体" w:cs="宋体"/>
          <w:szCs w:val="21"/>
          <w:lang w:val="en-US" w:eastAsia="zh-CN"/>
        </w:rPr>
      </w:pPr>
      <w:r>
        <w:rPr>
          <w:rFonts w:hint="eastAsia" w:hAnsi="宋体" w:cs="宋体"/>
          <w:szCs w:val="21"/>
          <w:lang w:val="en-US" w:eastAsia="zh-CN"/>
        </w:rPr>
        <w:t>可能导致伤害和健康损害的来源。</w:t>
      </w:r>
    </w:p>
    <w:p w14:paraId="49839F75">
      <w:pPr>
        <w:pStyle w:val="41"/>
        <w:rPr>
          <w:rFonts w:hint="default" w:ascii="Times New Roman" w:hAnsi="Times New Roman" w:cs="Times New Roman"/>
          <w:szCs w:val="21"/>
          <w:lang w:val="en-US"/>
        </w:rPr>
      </w:pPr>
      <w:r>
        <w:rPr>
          <w:rFonts w:hint="default" w:ascii="Times New Roman" w:hAnsi="Times New Roman" w:cs="Times New Roman"/>
          <w:szCs w:val="21"/>
          <w:lang w:val="en-US" w:eastAsia="zh-CN"/>
        </w:rPr>
        <w:t>[来源：GB/T</w:t>
      </w:r>
      <w:r>
        <w:rPr>
          <w:rFonts w:hint="eastAsia" w:ascii="Times New Roman" w:cs="Times New Roman"/>
          <w:szCs w:val="21"/>
          <w:lang w:val="en-US" w:eastAsia="zh-CN"/>
        </w:rPr>
        <w:t xml:space="preserve"> </w:t>
      </w:r>
      <w:r>
        <w:rPr>
          <w:rFonts w:hint="default" w:ascii="Times New Roman" w:hAnsi="Times New Roman" w:cs="Times New Roman"/>
          <w:szCs w:val="21"/>
          <w:lang w:val="en-US" w:eastAsia="zh-CN"/>
        </w:rPr>
        <w:t>45001 ]</w:t>
      </w:r>
    </w:p>
    <w:p w14:paraId="0A37B1B2">
      <w:pPr>
        <w:pStyle w:val="45"/>
        <w:spacing w:before="120" w:after="120"/>
        <w:rPr>
          <w:rFonts w:ascii="Times New Roman"/>
        </w:rPr>
      </w:pPr>
      <w:r>
        <w:rPr>
          <w:rFonts w:hint="eastAsia"/>
          <w:lang w:val="en-US" w:eastAsia="zh-CN"/>
        </w:rPr>
        <w:t>安全风险</w:t>
      </w:r>
      <w:r>
        <w:rPr>
          <w:rFonts w:hint="eastAsia"/>
        </w:rPr>
        <w:t xml:space="preserve"> </w:t>
      </w:r>
      <w:r>
        <w:rPr>
          <w:rFonts w:hint="eastAsia" w:ascii="Times New Roman"/>
          <w:lang w:val="en-US" w:eastAsia="zh-CN"/>
        </w:rPr>
        <w:t>security risk</w:t>
      </w:r>
    </w:p>
    <w:p w14:paraId="56B098D6">
      <w:pPr>
        <w:pStyle w:val="41"/>
        <w:ind w:left="399" w:leftChars="190" w:firstLine="0" w:firstLineChars="0"/>
        <w:rPr>
          <w:rFonts w:hAnsi="宋体" w:cs="宋体"/>
          <w:color w:val="000000" w:themeColor="text1"/>
          <w:szCs w:val="21"/>
          <w14:textFill>
            <w14:solidFill>
              <w14:schemeClr w14:val="tx1"/>
            </w14:solidFill>
          </w14:textFill>
        </w:rPr>
      </w:pPr>
      <w:r>
        <w:rPr>
          <w:rFonts w:hint="eastAsia" w:hAnsi="宋体" w:cs="宋体"/>
          <w:szCs w:val="21"/>
          <w:lang w:val="en-US" w:eastAsia="zh-CN"/>
        </w:rPr>
        <w:t>发生危险事件或有害暴露的可能性，与随之引发的人身伤害、健康损害或财产损失的严重性的组合。</w:t>
      </w:r>
      <w:r>
        <w:rPr>
          <w:rFonts w:hint="default" w:ascii="Times New Roman" w:hAnsi="Times New Roman" w:cs="Times New Roman"/>
          <w:color w:val="000000" w:themeColor="text1"/>
          <w:szCs w:val="21"/>
          <w:lang w:val="en-US" w:eastAsia="zh-CN"/>
          <w14:textFill>
            <w14:solidFill>
              <w14:schemeClr w14:val="tx1"/>
            </w14:solidFill>
          </w14:textFill>
        </w:rPr>
        <w:t>[来源：GB/T</w:t>
      </w:r>
      <w:r>
        <w:rPr>
          <w:rFonts w:hint="eastAsia" w:asci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lang w:val="en-US" w:eastAsia="zh-CN"/>
          <w14:textFill>
            <w14:solidFill>
              <w14:schemeClr w14:val="tx1"/>
            </w14:solidFill>
          </w14:textFill>
        </w:rPr>
        <w:t>33000 ]</w:t>
      </w:r>
    </w:p>
    <w:p w14:paraId="536FAB2C">
      <w:pPr>
        <w:pStyle w:val="45"/>
        <w:spacing w:before="120" w:after="120"/>
        <w:rPr>
          <w:rFonts w:ascii="Times New Roman"/>
        </w:rPr>
      </w:pPr>
      <w:r>
        <w:rPr>
          <w:rFonts w:hint="eastAsia" w:ascii="Times New Roman"/>
          <w:lang w:val="en-US" w:eastAsia="zh-CN"/>
        </w:rPr>
        <w:t>物料 material</w:t>
      </w:r>
    </w:p>
    <w:p w14:paraId="5BB4FDF8">
      <w:pPr>
        <w:pStyle w:val="45"/>
        <w:numPr>
          <w:ilvl w:val="-1"/>
          <w:numId w:val="0"/>
        </w:numPr>
        <w:spacing w:before="120" w:after="120"/>
        <w:rPr>
          <w:rFonts w:ascii="Times New Roman"/>
        </w:rPr>
      </w:pPr>
      <w:r>
        <w:rPr>
          <w:rFonts w:hint="eastAsia" w:ascii="Times New Roman"/>
          <w:lang w:val="en-US" w:eastAsia="zh-CN"/>
        </w:rPr>
        <w:t xml:space="preserve">    </w:t>
      </w:r>
      <w:r>
        <w:rPr>
          <w:rFonts w:hint="eastAsia" w:ascii="宋体" w:hAnsi="宋体" w:eastAsia="宋体" w:cs="宋体"/>
          <w:lang w:val="en-US" w:eastAsia="zh-CN"/>
        </w:rPr>
        <w:t>与生态环境监测活动相关的原辅材料、产品及废弃物</w:t>
      </w:r>
      <w:r>
        <w:rPr>
          <w:rFonts w:hint="eastAsia" w:ascii="Times New Roman"/>
          <w:lang w:val="en-US" w:eastAsia="zh-CN"/>
        </w:rPr>
        <w:t xml:space="preserve">。 </w:t>
      </w:r>
    </w:p>
    <w:p w14:paraId="08C06178">
      <w:pPr>
        <w:pStyle w:val="45"/>
        <w:spacing w:before="120" w:after="120"/>
        <w:rPr>
          <w:rFonts w:ascii="Times New Roman"/>
        </w:rPr>
      </w:pPr>
      <w:r>
        <w:rPr>
          <w:rFonts w:hint="eastAsia"/>
          <w:color w:val="000000" w:themeColor="text1"/>
          <w:lang w:val="en-US" w:eastAsia="zh-CN"/>
          <w14:textFill>
            <w14:solidFill>
              <w14:schemeClr w14:val="tx1"/>
            </w14:solidFill>
          </w14:textFill>
        </w:rPr>
        <w:t xml:space="preserve">安全风险评估 </w:t>
      </w:r>
      <w:r>
        <w:rPr>
          <w:rFonts w:hint="eastAsia" w:ascii="Times New Roman"/>
          <w:color w:val="000000" w:themeColor="text1"/>
          <w:lang w:val="en-US" w:eastAsia="zh-CN"/>
          <w14:textFill>
            <w14:solidFill>
              <w14:schemeClr w14:val="tx1"/>
            </w14:solidFill>
          </w14:textFill>
        </w:rPr>
        <w:t>security risk assessment</w:t>
      </w:r>
    </w:p>
    <w:p w14:paraId="1525962D">
      <w:pPr>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运用定性或定量的统计分析方法对安全风险进行分析、确定其严重程度，对现有控制措施的充分性、可靠性加以考虑，以及对其是否可接受予以确定的过程。</w:t>
      </w:r>
    </w:p>
    <w:p w14:paraId="02DC4455">
      <w:pPr>
        <w:ind w:firstLine="420"/>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[来源：</w:t>
      </w:r>
      <w:r>
        <w:rPr>
          <w:rFonts w:hint="default" w:ascii="Times New Roman" w:hAnsi="Times New Roman" w:eastAsia="宋体" w:cs="Times New Roman"/>
          <w:szCs w:val="21"/>
          <w:lang w:val="en-US" w:eastAsia="zh-CN"/>
        </w:rPr>
        <w:t>GB/T 33000</w:t>
      </w:r>
      <w:r>
        <w:rPr>
          <w:rFonts w:hint="default" w:ascii="Times New Roman" w:hAnsi="Times New Roman" w:cs="Times New Roman"/>
          <w:color w:val="000000" w:themeColor="text1"/>
          <w:lang w:val="en-US" w:eastAsia="zh-CN"/>
          <w14:textFill>
            <w14:solidFill>
              <w14:schemeClr w14:val="tx1"/>
            </w14:solidFill>
          </w14:textFill>
        </w:rPr>
        <w:t>]</w:t>
      </w:r>
    </w:p>
    <w:p w14:paraId="77E4E183">
      <w:pPr>
        <w:pStyle w:val="44"/>
        <w:spacing w:before="240" w:after="240"/>
        <w:outlineLvl w:val="0"/>
      </w:pPr>
      <w:bookmarkStart w:id="88" w:name="_Toc17734"/>
      <w:bookmarkStart w:id="89" w:name="_Toc5569"/>
      <w:bookmarkStart w:id="90" w:name="_Toc2466"/>
      <w:bookmarkStart w:id="91" w:name="_Toc5316"/>
      <w:bookmarkStart w:id="92" w:name="_Toc10"/>
      <w:bookmarkStart w:id="93" w:name="_Toc29394"/>
      <w:bookmarkStart w:id="94" w:name="_Toc9694"/>
      <w:bookmarkStart w:id="95" w:name="_Toc6376"/>
      <w:bookmarkStart w:id="96" w:name="_Toc12530"/>
      <w:bookmarkStart w:id="97" w:name="_Toc29245"/>
      <w:r>
        <w:rPr>
          <w:rFonts w:hint="eastAsia" w:hAnsi="黑体" w:cs="黑体"/>
          <w:szCs w:val="21"/>
        </w:rPr>
        <w:t>机构</w:t>
      </w:r>
      <w:bookmarkEnd w:id="88"/>
      <w:bookmarkEnd w:id="89"/>
      <w:bookmarkEnd w:id="90"/>
      <w:bookmarkEnd w:id="91"/>
      <w:bookmarkEnd w:id="92"/>
      <w:bookmarkEnd w:id="93"/>
      <w:bookmarkEnd w:id="94"/>
      <w:bookmarkEnd w:id="95"/>
      <w:bookmarkEnd w:id="96"/>
      <w:bookmarkEnd w:id="97"/>
    </w:p>
    <w:p w14:paraId="346F7CE5">
      <w:pPr>
        <w:pStyle w:val="45"/>
        <w:rPr>
          <w:rFonts w:hint="default" w:ascii="Times New Roman" w:eastAsia="宋体"/>
          <w:lang w:eastAsia="zh-CN"/>
        </w:rPr>
      </w:pPr>
      <w:r>
        <w:rPr>
          <w:rFonts w:hint="default" w:ascii="Times New Roman" w:hAnsi="Times New Roman" w:eastAsia="宋体" w:cs="Times New Roman"/>
          <w:lang w:val="en-US" w:eastAsia="zh-CN"/>
        </w:rPr>
        <w:t>生态环境监测机构</w:t>
      </w:r>
      <w:r>
        <w:rPr>
          <w:rFonts w:hint="eastAsia" w:ascii="Times New Roman" w:eastAsia="宋体" w:cs="Times New Roman"/>
          <w:lang w:val="en-US" w:eastAsia="zh-CN"/>
        </w:rPr>
        <w:t>应当承担安全生产主体责任。</w:t>
      </w:r>
    </w:p>
    <w:p w14:paraId="2EB84B61">
      <w:pPr>
        <w:pStyle w:val="45"/>
        <w:spacing w:before="120" w:after="120"/>
      </w:pPr>
      <w:r>
        <w:rPr>
          <w:rFonts w:hint="eastAsia" w:ascii="Times New Roman" w:eastAsia="宋体" w:cs="Times New Roman"/>
          <w:lang w:val="en-US" w:eastAsia="zh-CN"/>
        </w:rPr>
        <w:t>生态环境监测机构应</w:t>
      </w:r>
      <w:r>
        <w:rPr>
          <w:rFonts w:hint="default" w:ascii="Times New Roman" w:hAnsi="Times New Roman" w:eastAsia="宋体" w:cs="Times New Roman"/>
          <w:lang w:val="en-US" w:eastAsia="zh-CN"/>
        </w:rPr>
        <w:t>确保所从事</w:t>
      </w:r>
      <w:r>
        <w:rPr>
          <w:rFonts w:hint="eastAsia" w:ascii="Times New Roman" w:eastAsia="宋体" w:cs="Times New Roman"/>
          <w:lang w:val="en-US" w:eastAsia="zh-CN"/>
        </w:rPr>
        <w:t>生态环境</w:t>
      </w:r>
      <w:r>
        <w:rPr>
          <w:rFonts w:hint="default" w:ascii="Times New Roman" w:hAnsi="Times New Roman" w:eastAsia="宋体" w:cs="Times New Roman"/>
          <w:lang w:val="en-US" w:eastAsia="zh-CN"/>
        </w:rPr>
        <w:t>监测及相关活动符合适用的安全法律法规和标准的要求。</w:t>
      </w:r>
    </w:p>
    <w:p w14:paraId="62047179">
      <w:pPr>
        <w:pStyle w:val="45"/>
        <w:spacing w:before="120" w:after="120"/>
        <w:rPr>
          <w:rFonts w:hint="default" w:ascii="Times New Roman" w:eastAsia="宋体"/>
          <w:lang w:val="en-US" w:eastAsia="zh-CN"/>
        </w:rPr>
      </w:pPr>
      <w:r>
        <w:rPr>
          <w:rFonts w:hint="eastAsia" w:ascii="Times New Roman" w:eastAsia="宋体"/>
          <w:szCs w:val="21"/>
          <w:lang w:val="en-US" w:eastAsia="zh-CN"/>
        </w:rPr>
        <w:t>生</w:t>
      </w:r>
      <w:r>
        <w:rPr>
          <w:rFonts w:hint="default" w:ascii="Times New Roman" w:eastAsia="宋体"/>
          <w:szCs w:val="21"/>
          <w:lang w:val="en-US" w:eastAsia="zh-CN"/>
        </w:rPr>
        <w:t>态环境监测机构</w:t>
      </w:r>
      <w:r>
        <w:rPr>
          <w:rFonts w:hint="eastAsia" w:ascii="Times New Roman" w:eastAsia="宋体"/>
          <w:szCs w:val="21"/>
          <w:lang w:val="en-US" w:eastAsia="zh-CN"/>
        </w:rPr>
        <w:t>应</w:t>
      </w:r>
      <w:r>
        <w:rPr>
          <w:rFonts w:hint="default" w:ascii="Times New Roman" w:eastAsia="宋体"/>
          <w:szCs w:val="21"/>
          <w:lang w:val="en-US" w:eastAsia="zh-CN"/>
        </w:rPr>
        <w:t>根据业务性质、活动特点等建立、实施、保持和持续改进与其规模及活动性质相适应的安全管理</w:t>
      </w:r>
      <w:r>
        <w:rPr>
          <w:rFonts w:hint="eastAsia" w:ascii="Times New Roman" w:eastAsia="宋体"/>
          <w:szCs w:val="21"/>
          <w:lang w:val="en-US" w:eastAsia="zh-CN"/>
        </w:rPr>
        <w:t>制度</w:t>
      </w:r>
      <w:r>
        <w:rPr>
          <w:rFonts w:hint="default" w:ascii="Times New Roman" w:eastAsia="宋体"/>
          <w:szCs w:val="21"/>
          <w:lang w:val="en-US" w:eastAsia="zh-CN"/>
        </w:rPr>
        <w:t>，</w:t>
      </w:r>
      <w:r>
        <w:rPr>
          <w:rFonts w:hint="eastAsia" w:ascii="Times New Roman" w:eastAsia="宋体"/>
          <w:szCs w:val="21"/>
          <w:lang w:val="en-US" w:eastAsia="zh-CN"/>
        </w:rPr>
        <w:t>根据危险源辨识及风险评价结果，实施控制措施，制定应急预案，并开展安全检查。</w:t>
      </w:r>
    </w:p>
    <w:p w14:paraId="5C060A25">
      <w:pPr>
        <w:pStyle w:val="45"/>
        <w:rPr>
          <w:rFonts w:hint="default" w:ascii="Times New Roman" w:hAnsi="Times New Roman" w:eastAsia="黑体" w:cs="Times New Roman"/>
          <w:szCs w:val="21"/>
          <w:lang w:val="en-US" w:eastAsia="zh-CN"/>
        </w:rPr>
      </w:pPr>
      <w:r>
        <w:rPr>
          <w:rFonts w:hint="eastAsia" w:ascii="Times New Roman" w:eastAsia="宋体" w:cs="Times New Roman"/>
          <w:lang w:val="en-US" w:eastAsia="zh-CN"/>
        </w:rPr>
        <w:t>生态环境监测机构应配备</w:t>
      </w:r>
      <w:r>
        <w:rPr>
          <w:rFonts w:hint="default" w:ascii="Times New Roman" w:hAnsi="Times New Roman" w:eastAsia="宋体" w:cs="Times New Roman"/>
          <w:lang w:val="en-US" w:eastAsia="zh-CN"/>
        </w:rPr>
        <w:t>安全负责人</w:t>
      </w:r>
      <w:r>
        <w:rPr>
          <w:rFonts w:hint="eastAsia" w:ascii="Times New Roman" w:eastAsia="宋体" w:cs="Times New Roman"/>
          <w:lang w:val="en-US" w:eastAsia="zh-CN"/>
        </w:rPr>
        <w:t>和安全员。</w:t>
      </w:r>
      <w:bookmarkStart w:id="98" w:name="_Toc29346"/>
      <w:bookmarkStart w:id="99" w:name="_Toc9251"/>
      <w:bookmarkStart w:id="100" w:name="_Toc21759"/>
      <w:bookmarkStart w:id="101" w:name="_Toc14632"/>
      <w:bookmarkStart w:id="102" w:name="_Toc18914"/>
      <w:bookmarkStart w:id="103" w:name="_Toc21493"/>
      <w:bookmarkStart w:id="104" w:name="_Toc3542"/>
      <w:bookmarkStart w:id="105" w:name="_Toc22146"/>
      <w:bookmarkStart w:id="106" w:name="_Toc9963"/>
    </w:p>
    <w:p w14:paraId="49BE7925">
      <w:pPr>
        <w:pStyle w:val="44"/>
        <w:spacing w:before="240" w:after="240"/>
        <w:outlineLvl w:val="0"/>
        <w:rPr>
          <w:rFonts w:hint="default" w:hAnsi="黑体" w:cs="黑体"/>
          <w:szCs w:val="21"/>
          <w:lang w:val="en-US" w:eastAsia="zh-CN"/>
        </w:rPr>
      </w:pPr>
      <w:r>
        <w:rPr>
          <w:rFonts w:hint="default" w:hAnsi="黑体" w:cs="黑体"/>
          <w:szCs w:val="21"/>
          <w:lang w:val="en-US" w:eastAsia="zh-CN"/>
        </w:rPr>
        <w:t>人员</w:t>
      </w:r>
      <w:bookmarkEnd w:id="98"/>
      <w:bookmarkEnd w:id="99"/>
      <w:bookmarkEnd w:id="100"/>
      <w:bookmarkEnd w:id="101"/>
      <w:bookmarkEnd w:id="102"/>
      <w:bookmarkEnd w:id="103"/>
      <w:bookmarkEnd w:id="104"/>
      <w:bookmarkEnd w:id="105"/>
      <w:bookmarkEnd w:id="106"/>
    </w:p>
    <w:p w14:paraId="190F45C1">
      <w:pPr>
        <w:pStyle w:val="45"/>
        <w:keepNext w:val="0"/>
        <w:keepLines w:val="0"/>
        <w:pageBreakBefore w:val="0"/>
        <w:widowControl/>
        <w:kinsoku/>
        <w:wordWrap/>
        <w:overflowPunct/>
        <w:topLinePunct w:val="0"/>
        <w:autoSpaceDE/>
        <w:autoSpaceDN/>
        <w:bidi w:val="0"/>
        <w:adjustRightInd/>
        <w:snapToGrid/>
        <w:spacing w:before="120" w:after="120"/>
        <w:textAlignment w:val="auto"/>
        <w:rPr>
          <w:rFonts w:hint="default" w:ascii="Times New Roman" w:eastAsia="宋体"/>
          <w:lang w:val="en-US" w:eastAsia="zh-CN"/>
        </w:rPr>
      </w:pPr>
      <w:r>
        <w:rPr>
          <w:rFonts w:hint="default" w:ascii="Times New Roman" w:eastAsia="宋体"/>
          <w:lang w:val="en-US" w:eastAsia="zh-CN"/>
        </w:rPr>
        <w:t>安全负责人应熟悉监测活动的安全要求，具备与机构所从事的生态环境监测活动相应的安全管理能力，</w:t>
      </w:r>
      <w:r>
        <w:rPr>
          <w:rFonts w:hint="default" w:ascii="Times New Roman" w:hAnsi="Times New Roman" w:eastAsia="宋体" w:cs="Times New Roman"/>
          <w:lang w:val="en-US" w:eastAsia="zh-CN"/>
        </w:rPr>
        <w:t>负责</w:t>
      </w:r>
      <w:r>
        <w:rPr>
          <w:rFonts w:hint="default" w:ascii="Times New Roman" w:eastAsia="宋体" w:cs="Times New Roman"/>
          <w:lang w:val="en-US" w:eastAsia="zh-CN"/>
        </w:rPr>
        <w:t>组织</w:t>
      </w:r>
      <w:r>
        <w:rPr>
          <w:rFonts w:hint="default" w:ascii="Times New Roman" w:hAnsi="Times New Roman" w:eastAsia="宋体" w:cs="Times New Roman"/>
          <w:lang w:val="en-US" w:eastAsia="zh-CN"/>
        </w:rPr>
        <w:t>机构的安全管理、安全风险排查、安全演练、安全培训等</w:t>
      </w:r>
      <w:r>
        <w:rPr>
          <w:rFonts w:hint="default" w:ascii="Times New Roman" w:eastAsia="宋体" w:cs="Times New Roman"/>
          <w:lang w:val="en-US" w:eastAsia="zh-CN"/>
        </w:rPr>
        <w:t>。</w:t>
      </w:r>
    </w:p>
    <w:p w14:paraId="2A825A80">
      <w:pPr>
        <w:pStyle w:val="45"/>
        <w:keepNext w:val="0"/>
        <w:keepLines w:val="0"/>
        <w:pageBreakBefore w:val="0"/>
        <w:widowControl/>
        <w:tabs>
          <w:tab w:val="center" w:pos="4201"/>
          <w:tab w:val="right" w:leader="dot" w:pos="9298"/>
        </w:tabs>
        <w:kinsoku/>
        <w:wordWrap/>
        <w:overflowPunct/>
        <w:topLinePunct w:val="0"/>
        <w:autoSpaceDE/>
        <w:autoSpaceDN/>
        <w:bidi w:val="0"/>
        <w:adjustRightInd/>
        <w:snapToGrid/>
        <w:spacing w:before="120" w:after="120"/>
        <w:textAlignment w:val="auto"/>
        <w:rPr>
          <w:rFonts w:hint="default"/>
          <w:lang w:val="en-US" w:eastAsia="zh-CN"/>
        </w:rPr>
      </w:pPr>
      <w:r>
        <w:rPr>
          <w:rFonts w:hint="default" w:ascii="Times New Roman" w:eastAsia="宋体"/>
          <w:lang w:val="en-US" w:eastAsia="zh-CN"/>
        </w:rPr>
        <w:t>安全员应</w:t>
      </w:r>
      <w:r>
        <w:rPr>
          <w:rFonts w:hint="default" w:ascii="Times New Roman" w:eastAsia="宋体" w:cs="Times New Roman"/>
          <w:lang w:val="en-US" w:eastAsia="zh-CN"/>
        </w:rPr>
        <w:t>熟悉安全管理制度，通过安全培训考核，</w:t>
      </w:r>
      <w:r>
        <w:rPr>
          <w:rFonts w:hint="default" w:ascii="Times New Roman" w:hAnsi="Times New Roman" w:eastAsia="宋体" w:cs="Times New Roman"/>
          <w:lang w:val="en-US" w:eastAsia="zh-CN"/>
        </w:rPr>
        <w:t>负责</w:t>
      </w:r>
      <w:r>
        <w:rPr>
          <w:rFonts w:hint="default" w:ascii="Times New Roman" w:eastAsia="宋体" w:cs="Times New Roman"/>
          <w:lang w:val="en-US" w:eastAsia="zh-CN"/>
        </w:rPr>
        <w:t>生态环境监测工作的</w:t>
      </w:r>
      <w:r>
        <w:rPr>
          <w:rFonts w:hint="default" w:ascii="Times New Roman" w:hAnsi="Times New Roman" w:eastAsia="宋体" w:cs="Times New Roman"/>
          <w:lang w:val="en-US" w:eastAsia="zh-CN"/>
        </w:rPr>
        <w:t>日常安全管理</w:t>
      </w:r>
      <w:r>
        <w:rPr>
          <w:rFonts w:hint="default" w:ascii="Times New Roman" w:eastAsia="宋体" w:cs="Times New Roman"/>
          <w:lang w:val="en-US" w:eastAsia="zh-CN"/>
        </w:rPr>
        <w:t>。</w:t>
      </w:r>
    </w:p>
    <w:p w14:paraId="0F4AC90D">
      <w:pPr>
        <w:pStyle w:val="45"/>
        <w:keepNext w:val="0"/>
        <w:keepLines w:val="0"/>
        <w:pageBreakBefore w:val="0"/>
        <w:widowControl/>
        <w:kinsoku/>
        <w:wordWrap/>
        <w:overflowPunct/>
        <w:topLinePunct w:val="0"/>
        <w:autoSpaceDE/>
        <w:autoSpaceDN/>
        <w:bidi w:val="0"/>
        <w:adjustRightInd/>
        <w:snapToGrid/>
        <w:spacing w:before="120" w:after="120"/>
        <w:textAlignment w:val="auto"/>
        <w:rPr>
          <w:rFonts w:hint="default" w:ascii="Times New Roman" w:eastAsia="宋体"/>
          <w:lang w:val="en-US" w:eastAsia="zh-CN"/>
        </w:rPr>
      </w:pPr>
      <w:r>
        <w:rPr>
          <w:rFonts w:hint="eastAsia" w:ascii="Times New Roman" w:eastAsia="宋体" w:cs="Times New Roman"/>
          <w:lang w:val="en-US" w:eastAsia="zh-CN"/>
        </w:rPr>
        <w:t>生态环境监测人员应掌握本岗位的安全操作技能，定期接受岗位安全培训并考核合格。</w:t>
      </w:r>
      <w:r>
        <w:rPr>
          <w:rFonts w:hint="default" w:ascii="Times New Roman" w:eastAsia="宋体"/>
          <w:color w:val="000000" w:themeColor="text1"/>
          <w:lang w:val="en-US" w:eastAsia="zh-CN"/>
          <w14:textFill>
            <w14:solidFill>
              <w14:schemeClr w14:val="tx1"/>
            </w14:solidFill>
          </w14:textFill>
        </w:rPr>
        <w:t>监测人员的健康状况应与岗位要求相适应</w:t>
      </w:r>
      <w:r>
        <w:rPr>
          <w:rFonts w:hint="default" w:ascii="Times New Roman" w:eastAsia="宋体"/>
          <w:color w:val="000000" w:themeColor="text1"/>
          <w:lang w:eastAsia="zh-CN"/>
          <w14:textFill>
            <w14:solidFill>
              <w14:schemeClr w14:val="tx1"/>
            </w14:solidFill>
          </w14:textFill>
        </w:rPr>
        <w:t>。</w:t>
      </w:r>
    </w:p>
    <w:p w14:paraId="02B43B07">
      <w:pPr>
        <w:pStyle w:val="45"/>
        <w:keepNext w:val="0"/>
        <w:keepLines w:val="0"/>
        <w:pageBreakBefore w:val="0"/>
        <w:widowControl/>
        <w:kinsoku/>
        <w:wordWrap/>
        <w:overflowPunct/>
        <w:topLinePunct w:val="0"/>
        <w:autoSpaceDE/>
        <w:autoSpaceDN/>
        <w:bidi w:val="0"/>
        <w:adjustRightInd/>
        <w:snapToGrid/>
        <w:spacing w:before="120" w:after="120"/>
        <w:textAlignment w:val="auto"/>
        <w:rPr>
          <w:rFonts w:hint="default" w:ascii="Times New Roman" w:eastAsia="宋体"/>
          <w:lang w:val="en-US" w:eastAsia="zh-CN"/>
        </w:rPr>
      </w:pPr>
      <w:r>
        <w:rPr>
          <w:rFonts w:hint="eastAsia" w:ascii="Times New Roman" w:eastAsia="宋体" w:cs="Times New Roman"/>
          <w:lang w:val="en-US" w:eastAsia="zh-CN"/>
        </w:rPr>
        <w:t>人员培训</w:t>
      </w:r>
      <w:r>
        <w:rPr>
          <w:rFonts w:hint="eastAsia" w:ascii="Times New Roman" w:eastAsia="宋体" w:cs="Times New Roman"/>
          <w:szCs w:val="21"/>
          <w:lang w:val="en-US" w:eastAsia="zh-CN"/>
        </w:rPr>
        <w:t>内容包括但不限于安全法律法规及标准、安全管理的基本知识、安全管理制度、危险源辨识、风险控制、应急处理及防护措施。</w:t>
      </w:r>
    </w:p>
    <w:p w14:paraId="70D6334B">
      <w:pPr>
        <w:pStyle w:val="44"/>
        <w:spacing w:before="240" w:after="240"/>
        <w:outlineLvl w:val="0"/>
        <w:rPr>
          <w:rFonts w:ascii="Times New Roman"/>
        </w:rPr>
      </w:pPr>
      <w:bookmarkStart w:id="107" w:name="_Toc8683"/>
      <w:bookmarkStart w:id="108" w:name="_Toc22151"/>
      <w:bookmarkStart w:id="109" w:name="_Toc16697"/>
      <w:bookmarkStart w:id="110" w:name="_Toc31927"/>
      <w:bookmarkStart w:id="111" w:name="_Toc20844"/>
      <w:bookmarkStart w:id="112" w:name="_Toc10389"/>
      <w:bookmarkStart w:id="113" w:name="_Toc29026"/>
      <w:bookmarkStart w:id="114" w:name="_Toc2234"/>
      <w:bookmarkStart w:id="115" w:name="_Toc7781"/>
      <w:r>
        <w:rPr>
          <w:rFonts w:hint="default" w:ascii="Times New Roman"/>
        </w:rPr>
        <w:t>场所环境</w:t>
      </w:r>
      <w:bookmarkEnd w:id="107"/>
      <w:bookmarkEnd w:id="108"/>
      <w:bookmarkEnd w:id="109"/>
      <w:bookmarkEnd w:id="110"/>
      <w:bookmarkEnd w:id="111"/>
      <w:bookmarkEnd w:id="112"/>
      <w:bookmarkEnd w:id="113"/>
      <w:bookmarkEnd w:id="114"/>
      <w:bookmarkEnd w:id="115"/>
    </w:p>
    <w:p w14:paraId="316473C0">
      <w:pPr>
        <w:pStyle w:val="45"/>
        <w:spacing w:before="0" w:after="0"/>
        <w:rPr>
          <w:rFonts w:hint="default" w:ascii="Times New Roman" w:eastAsia="宋体"/>
          <w:lang w:val="en-US" w:eastAsia="zh-CN"/>
        </w:rPr>
      </w:pPr>
      <w:r>
        <w:rPr>
          <w:rFonts w:hint="eastAsia" w:ascii="Times New Roman" w:eastAsia="宋体"/>
          <w:lang w:val="en-US" w:eastAsia="zh-CN"/>
        </w:rPr>
        <w:t>生态</w:t>
      </w:r>
      <w:r>
        <w:rPr>
          <w:rFonts w:hint="default" w:ascii="Times New Roman" w:eastAsia="宋体"/>
          <w:lang w:val="en-US" w:eastAsia="zh-CN"/>
        </w:rPr>
        <w:t>环境监测</w:t>
      </w:r>
      <w:r>
        <w:rPr>
          <w:rFonts w:hint="eastAsia" w:ascii="Times New Roman" w:eastAsia="宋体"/>
          <w:lang w:val="en-US" w:eastAsia="zh-CN"/>
        </w:rPr>
        <w:t>场所所涉及</w:t>
      </w:r>
      <w:r>
        <w:rPr>
          <w:rFonts w:ascii="Times New Roman" w:eastAsia="宋体"/>
        </w:rPr>
        <w:t>的化学物质、粉尘和生物因素在空气中的浓度应不超过</w:t>
      </w:r>
      <w:r>
        <w:rPr>
          <w:rFonts w:hint="default" w:ascii="Times New Roman" w:eastAsia="宋体"/>
          <w:lang w:val="en-US" w:eastAsia="zh-CN"/>
        </w:rPr>
        <w:t>GBZ2.1</w:t>
      </w:r>
      <w:r>
        <w:rPr>
          <w:rFonts w:ascii="Times New Roman" w:eastAsia="宋体"/>
        </w:rPr>
        <w:t>规定的限值</w:t>
      </w:r>
      <w:r>
        <w:rPr>
          <w:rFonts w:hint="default" w:ascii="Times New Roman" w:eastAsia="宋体"/>
          <w:lang w:eastAsia="zh-CN"/>
        </w:rPr>
        <w:t>。</w:t>
      </w:r>
    </w:p>
    <w:p w14:paraId="4EFD1DD0">
      <w:pPr>
        <w:pStyle w:val="45"/>
        <w:spacing w:before="0" w:after="0"/>
        <w:rPr>
          <w:rFonts w:hint="default" w:ascii="Times New Roman" w:eastAsia="宋体"/>
        </w:rPr>
      </w:pPr>
      <w:r>
        <w:rPr>
          <w:rFonts w:hint="eastAsia" w:ascii="Times New Roman" w:eastAsia="宋体"/>
          <w:lang w:val="en-US" w:eastAsia="zh-CN"/>
        </w:rPr>
        <w:t>生态</w:t>
      </w:r>
      <w:r>
        <w:rPr>
          <w:rFonts w:hint="default" w:ascii="Times New Roman" w:eastAsia="宋体"/>
          <w:lang w:val="en-US" w:eastAsia="zh-CN"/>
        </w:rPr>
        <w:t>环境监测</w:t>
      </w:r>
      <w:r>
        <w:rPr>
          <w:rFonts w:hint="eastAsia" w:ascii="Times New Roman" w:eastAsia="宋体"/>
          <w:lang w:val="en-US" w:eastAsia="zh-CN"/>
        </w:rPr>
        <w:t>场所所涉及</w:t>
      </w:r>
      <w:r>
        <w:rPr>
          <w:rFonts w:ascii="Times New Roman" w:eastAsia="宋体"/>
        </w:rPr>
        <w:t>的物理因素，包括超高频辐射、高频电磁场、工频电场、激光辐射、微波辐射、紫外辐射、高温作业、噪声和手传振动等，应不超过</w:t>
      </w:r>
      <w:r>
        <w:rPr>
          <w:rFonts w:hint="default" w:ascii="Times New Roman" w:eastAsia="宋体"/>
          <w:lang w:val="en-US" w:eastAsia="zh-CN"/>
        </w:rPr>
        <w:t>GBZ2.2</w:t>
      </w:r>
      <w:r>
        <w:rPr>
          <w:rFonts w:ascii="Times New Roman" w:eastAsia="宋体"/>
        </w:rPr>
        <w:t>规定的限值。</w:t>
      </w:r>
    </w:p>
    <w:p w14:paraId="774007F0">
      <w:pPr>
        <w:pStyle w:val="44"/>
        <w:spacing w:before="240" w:after="240"/>
        <w:outlineLvl w:val="0"/>
      </w:pPr>
      <w:bookmarkStart w:id="116" w:name="_Toc10079"/>
      <w:bookmarkStart w:id="117" w:name="_Toc25229"/>
      <w:bookmarkStart w:id="118" w:name="_Toc21285"/>
      <w:bookmarkStart w:id="119" w:name="_Toc25729"/>
      <w:bookmarkStart w:id="120" w:name="_Toc25135"/>
      <w:bookmarkStart w:id="121" w:name="_Toc6652"/>
      <w:bookmarkStart w:id="122" w:name="_Toc7460"/>
      <w:bookmarkStart w:id="123" w:name="_Toc19534"/>
      <w:bookmarkStart w:id="124" w:name="_Toc14268"/>
      <w:bookmarkStart w:id="125" w:name="_Toc28981"/>
      <w:r>
        <w:rPr>
          <w:rFonts w:hint="eastAsia"/>
        </w:rPr>
        <w:t>设施设备</w:t>
      </w:r>
      <w:bookmarkEnd w:id="116"/>
      <w:bookmarkEnd w:id="117"/>
      <w:bookmarkEnd w:id="118"/>
      <w:bookmarkEnd w:id="119"/>
      <w:bookmarkEnd w:id="120"/>
      <w:bookmarkEnd w:id="121"/>
      <w:bookmarkEnd w:id="122"/>
      <w:bookmarkEnd w:id="123"/>
      <w:bookmarkEnd w:id="124"/>
      <w:bookmarkEnd w:id="125"/>
    </w:p>
    <w:p w14:paraId="1F77309B">
      <w:pPr>
        <w:pStyle w:val="45"/>
        <w:spacing w:before="120" w:after="120"/>
      </w:pPr>
      <w:r>
        <w:rPr>
          <w:rFonts w:hint="eastAsia"/>
        </w:rPr>
        <w:t>设施</w:t>
      </w:r>
      <w:r>
        <w:rPr>
          <w:rFonts w:hint="eastAsia"/>
          <w:lang w:val="en-US" w:eastAsia="zh-CN"/>
        </w:rPr>
        <w:t>的安全要求</w:t>
      </w:r>
    </w:p>
    <w:p w14:paraId="1F5563C8">
      <w:pPr>
        <w:pStyle w:val="46"/>
        <w:spacing w:before="120" w:after="120"/>
        <w:rPr>
          <w:rFonts w:hint="default" w:ascii="Times New Roman"/>
          <w:color w:val="000000" w:themeColor="text1"/>
          <w:lang w:val="en-US" w:eastAsia="zh-CN"/>
          <w14:textFill>
            <w14:solidFill>
              <w14:schemeClr w14:val="tx1"/>
            </w14:solidFill>
          </w14:textFill>
        </w:rPr>
      </w:pPr>
      <w:r>
        <w:rPr>
          <w:rFonts w:hint="default" w:ascii="Times New Roman" w:eastAsia="宋体"/>
          <w:lang w:val="en-US" w:eastAsia="zh-CN"/>
        </w:rPr>
        <w:t>生态环境监测过程中所使用的插头、固定式或移动式插座应符合GB/T 2099（所有部分）的</w:t>
      </w:r>
      <w:r>
        <w:rPr>
          <w:rFonts w:hint="eastAsia" w:ascii="Times New Roman" w:eastAsia="宋体"/>
          <w:lang w:val="en-US" w:eastAsia="zh-CN"/>
        </w:rPr>
        <w:t>要求</w:t>
      </w:r>
      <w:r>
        <w:rPr>
          <w:rFonts w:hint="default" w:ascii="Times New Roman" w:eastAsia="宋体"/>
          <w:lang w:val="en-US" w:eastAsia="zh-CN"/>
        </w:rPr>
        <w:t>。电气设施的可触及导电部件应有电击防护的保护措施</w:t>
      </w:r>
      <w:r>
        <w:rPr>
          <w:rFonts w:hint="eastAsia" w:ascii="Times New Roman" w:eastAsia="宋体"/>
          <w:lang w:val="en-US" w:eastAsia="zh-CN"/>
        </w:rPr>
        <w:t>，应符合</w:t>
      </w:r>
      <w:r>
        <w:rPr>
          <w:rFonts w:hint="default" w:ascii="Times New Roman" w:eastAsia="宋体"/>
          <w:lang w:val="en-US" w:eastAsia="zh-CN"/>
        </w:rPr>
        <w:t>GB/T 16895.21</w:t>
      </w:r>
      <w:r>
        <w:rPr>
          <w:rFonts w:hint="eastAsia" w:ascii="Times New Roman" w:eastAsia="宋体"/>
          <w:lang w:val="en-US" w:eastAsia="zh-CN"/>
        </w:rPr>
        <w:t>的要求</w:t>
      </w:r>
      <w:r>
        <w:rPr>
          <w:rFonts w:hint="default" w:ascii="Times New Roman" w:eastAsia="宋体"/>
          <w:lang w:val="en-US" w:eastAsia="zh-CN"/>
        </w:rPr>
        <w:t>。没有安装保护装置的地方，可用便携式装置提供附加防护，</w:t>
      </w:r>
      <w:r>
        <w:rPr>
          <w:rFonts w:hint="eastAsia" w:ascii="Times New Roman" w:eastAsia="宋体"/>
          <w:lang w:val="en-US" w:eastAsia="zh-CN"/>
        </w:rPr>
        <w:t>应符合</w:t>
      </w:r>
      <w:r>
        <w:rPr>
          <w:rFonts w:hint="default" w:ascii="Times New Roman" w:eastAsia="宋体"/>
          <w:lang w:val="en-US" w:eastAsia="zh-CN"/>
        </w:rPr>
        <w:t>GB/T 6829和GB/T 19212（所有部分）</w:t>
      </w:r>
      <w:r>
        <w:rPr>
          <w:rFonts w:hint="eastAsia" w:ascii="Times New Roman" w:eastAsia="宋体"/>
          <w:lang w:val="en-US" w:eastAsia="zh-CN"/>
        </w:rPr>
        <w:t>的要求</w:t>
      </w:r>
      <w:r>
        <w:rPr>
          <w:rFonts w:hint="default" w:ascii="Times New Roman" w:eastAsia="宋体"/>
          <w:lang w:val="en-US" w:eastAsia="zh-CN"/>
        </w:rPr>
        <w:t>。不能立即安装插座的地方可选用移动式插座或延长线插座作为仪器设备的临时配件，</w:t>
      </w:r>
      <w:r>
        <w:rPr>
          <w:rFonts w:hint="eastAsia" w:ascii="Times New Roman" w:eastAsia="宋体"/>
          <w:lang w:val="en-US" w:eastAsia="zh-CN"/>
        </w:rPr>
        <w:t>应符合</w:t>
      </w:r>
      <w:r>
        <w:rPr>
          <w:rFonts w:hint="default" w:ascii="Times New Roman" w:eastAsia="宋体"/>
          <w:lang w:val="en-US" w:eastAsia="zh-CN"/>
        </w:rPr>
        <w:t>GB/T 19637的要求。</w:t>
      </w:r>
      <w:r>
        <w:rPr>
          <w:rFonts w:hint="eastAsia" w:ascii="Times New Roman" w:eastAsia="宋体"/>
          <w:lang w:val="en-US" w:eastAsia="zh-CN"/>
        </w:rPr>
        <w:t>所使用的</w:t>
      </w:r>
      <w:r>
        <w:rPr>
          <w:rFonts w:hint="default" w:ascii="Times New Roman" w:eastAsia="宋体"/>
          <w:lang w:val="en-US" w:eastAsia="zh-CN"/>
        </w:rPr>
        <w:t>电池及充电器</w:t>
      </w:r>
      <w:r>
        <w:rPr>
          <w:rFonts w:hint="eastAsia" w:ascii="Times New Roman" w:eastAsia="宋体"/>
          <w:lang w:val="en-US" w:eastAsia="zh-CN"/>
        </w:rPr>
        <w:t>应符合</w:t>
      </w:r>
      <w:r>
        <w:rPr>
          <w:rFonts w:hint="default" w:ascii="Times New Roman" w:eastAsia="宋体"/>
          <w:lang w:val="en-US" w:eastAsia="zh-CN"/>
        </w:rPr>
        <w:t>GB/T 8897（所有部分）、GB/T 33587的要求。</w:t>
      </w:r>
    </w:p>
    <w:p w14:paraId="0CA2CAC1">
      <w:pPr>
        <w:pStyle w:val="46"/>
        <w:spacing w:before="120" w:after="120"/>
        <w:rPr>
          <w:rFonts w:hint="default" w:ascii="Times New Roman"/>
          <w:color w:val="000000" w:themeColor="text1"/>
          <w:lang w:val="en-US" w:eastAsia="zh-CN"/>
          <w14:textFill>
            <w14:solidFill>
              <w14:schemeClr w14:val="tx1"/>
            </w14:solidFill>
          </w14:textFill>
        </w:rPr>
      </w:pPr>
      <w:r>
        <w:rPr>
          <w:rFonts w:hint="default" w:ascii="Times New Roman" w:eastAsia="宋体"/>
          <w:lang w:val="en-US" w:eastAsia="zh-CN"/>
        </w:rPr>
        <w:t>生态环境监测活动中给排水设施的管路应无破损漏水，水阀正常工作。</w:t>
      </w:r>
    </w:p>
    <w:p w14:paraId="62BE3807">
      <w:pPr>
        <w:pStyle w:val="46"/>
        <w:spacing w:before="120" w:after="120"/>
        <w:jc w:val="both"/>
        <w:rPr>
          <w:rFonts w:hint="default" w:ascii="Times New Roman"/>
          <w:color w:val="000000" w:themeColor="text1"/>
          <w:lang w:val="en-US" w:eastAsia="zh-CN"/>
          <w14:textFill>
            <w14:solidFill>
              <w14:schemeClr w14:val="tx1"/>
            </w14:solidFill>
          </w14:textFill>
        </w:rPr>
      </w:pPr>
      <w:r>
        <w:rPr>
          <w:rFonts w:hint="eastAsia" w:ascii="Times New Roman" w:eastAsia="宋体"/>
          <w:lang w:val="en-US" w:eastAsia="zh-CN"/>
        </w:rPr>
        <w:t>监测场所</w:t>
      </w:r>
      <w:r>
        <w:rPr>
          <w:rFonts w:hint="default" w:ascii="Times New Roman" w:eastAsia="宋体"/>
          <w:lang w:val="en-US" w:eastAsia="zh-CN"/>
        </w:rPr>
        <w:t>应安装必要的消防、防爆和火灾报警装置，并定期检查维护。参照GB13495.1</w:t>
      </w:r>
      <w:r>
        <w:rPr>
          <w:rFonts w:hint="eastAsia" w:ascii="Times New Roman" w:eastAsia="宋体"/>
          <w:lang w:val="en-US" w:eastAsia="zh-CN"/>
        </w:rPr>
        <w:t>的要求</w:t>
      </w:r>
      <w:r>
        <w:rPr>
          <w:rFonts w:hint="default" w:ascii="Times New Roman" w:eastAsia="宋体"/>
          <w:lang w:val="en-US" w:eastAsia="zh-CN"/>
        </w:rPr>
        <w:t>设置消防安全标志，对于涉及使用可能导致火灾和爆炸的</w:t>
      </w:r>
      <w:r>
        <w:rPr>
          <w:rFonts w:hint="eastAsia" w:ascii="Times New Roman" w:eastAsia="宋体"/>
          <w:lang w:val="en-US" w:eastAsia="zh-CN"/>
        </w:rPr>
        <w:t>监测场所</w:t>
      </w:r>
      <w:r>
        <w:rPr>
          <w:rFonts w:hint="default" w:ascii="Times New Roman" w:eastAsia="宋体"/>
          <w:lang w:val="en-US" w:eastAsia="zh-CN"/>
        </w:rPr>
        <w:t>，应根据GB30000中化学品的分类，配置相应类型的灭火器</w:t>
      </w:r>
      <w:r>
        <w:rPr>
          <w:rFonts w:hint="eastAsia" w:ascii="Times New Roman" w:eastAsia="宋体"/>
          <w:lang w:val="en-US" w:eastAsia="zh-CN"/>
        </w:rPr>
        <w:t>；</w:t>
      </w:r>
      <w:r>
        <w:rPr>
          <w:rFonts w:hint="default" w:ascii="Times New Roman" w:eastAsia="宋体"/>
          <w:lang w:val="en-US" w:eastAsia="zh-CN"/>
        </w:rPr>
        <w:t>气瓶标志按照GB 16804的要求执行，其外表面的颜色标志宜符合GB/T 7144</w:t>
      </w:r>
      <w:r>
        <w:rPr>
          <w:rFonts w:hint="eastAsia" w:ascii="Times New Roman"/>
          <w:lang w:val="en-US" w:eastAsia="zh-CN"/>
        </w:rPr>
        <w:t>。</w:t>
      </w:r>
    </w:p>
    <w:p w14:paraId="4537CB63">
      <w:pPr>
        <w:pStyle w:val="46"/>
        <w:spacing w:before="120" w:after="120"/>
        <w:rPr>
          <w:rFonts w:hint="default" w:ascii="Times New Roman"/>
          <w:color w:val="000000" w:themeColor="text1"/>
          <w:lang w:val="en-US" w:eastAsia="zh-CN"/>
          <w14:textFill>
            <w14:solidFill>
              <w14:schemeClr w14:val="tx1"/>
            </w14:solidFill>
          </w14:textFill>
        </w:rPr>
      </w:pPr>
      <w:r>
        <w:rPr>
          <w:rFonts w:hint="default" w:ascii="Times New Roman" w:eastAsia="宋体"/>
          <w:lang w:val="en-US" w:eastAsia="zh-CN"/>
        </w:rPr>
        <w:t>实验室应参照GB/T</w:t>
      </w:r>
      <w:r>
        <w:rPr>
          <w:rFonts w:hint="eastAsia" w:ascii="Times New Roman"/>
          <w:lang w:val="en-US" w:eastAsia="zh-CN"/>
        </w:rPr>
        <w:t xml:space="preserve"> </w:t>
      </w:r>
      <w:r>
        <w:rPr>
          <w:rFonts w:hint="default" w:ascii="Times New Roman" w:eastAsia="宋体"/>
          <w:lang w:val="en-US" w:eastAsia="zh-CN"/>
        </w:rPr>
        <w:t>27476布设安装通风装置如通风柜、排风罩、空调等</w:t>
      </w:r>
      <w:r>
        <w:rPr>
          <w:rFonts w:hint="eastAsia" w:ascii="Times New Roman"/>
          <w:lang w:val="en-US" w:eastAsia="zh-CN"/>
        </w:rPr>
        <w:t>。</w:t>
      </w:r>
    </w:p>
    <w:p w14:paraId="5F9E1933">
      <w:pPr>
        <w:pStyle w:val="46"/>
        <w:spacing w:before="120" w:after="120"/>
        <w:rPr>
          <w:rFonts w:hint="default" w:ascii="Times New Roman"/>
          <w:lang w:val="en-US" w:eastAsia="zh-CN"/>
        </w:rPr>
      </w:pPr>
      <w:r>
        <w:rPr>
          <w:rFonts w:hint="default" w:ascii="Times New Roman" w:eastAsia="宋体"/>
          <w:lang w:val="en-US" w:eastAsia="zh-CN"/>
        </w:rPr>
        <w:t>根据监测活动的需要配备个人防护设施和应急物资。</w:t>
      </w:r>
    </w:p>
    <w:p w14:paraId="705E1363">
      <w:pPr>
        <w:pStyle w:val="45"/>
        <w:rPr>
          <w:rFonts w:hint="eastAsia"/>
          <w:lang w:val="en-US" w:eastAsia="zh-CN"/>
        </w:rPr>
      </w:pPr>
      <w:r>
        <w:rPr>
          <w:rFonts w:hint="eastAsia"/>
          <w:lang w:val="en-US" w:eastAsia="zh-CN"/>
        </w:rPr>
        <w:t>设备的安全要求</w:t>
      </w:r>
    </w:p>
    <w:p w14:paraId="3B1C0A56">
      <w:pPr>
        <w:pStyle w:val="46"/>
        <w:spacing w:before="120" w:after="120"/>
        <w:rPr>
          <w:rFonts w:hint="default" w:ascii="Times New Roman" w:eastAsia="宋体"/>
          <w:lang w:val="en-US" w:eastAsia="zh-CN"/>
        </w:rPr>
      </w:pPr>
      <w:r>
        <w:rPr>
          <w:rFonts w:hint="default" w:ascii="Times New Roman" w:eastAsia="宋体"/>
          <w:lang w:val="en-US" w:eastAsia="zh-CN"/>
        </w:rPr>
        <w:t>设备配备后</w:t>
      </w:r>
      <w:r>
        <w:rPr>
          <w:rFonts w:hint="eastAsia" w:ascii="Times New Roman" w:eastAsia="宋体"/>
          <w:lang w:val="en-US" w:eastAsia="zh-CN"/>
        </w:rPr>
        <w:t>应</w:t>
      </w:r>
      <w:r>
        <w:rPr>
          <w:rFonts w:hint="default" w:ascii="Times New Roman" w:eastAsia="宋体"/>
          <w:lang w:val="en-US" w:eastAsia="zh-CN"/>
        </w:rPr>
        <w:t>明确相应的责任人。</w:t>
      </w:r>
    </w:p>
    <w:p w14:paraId="1DA83713">
      <w:pPr>
        <w:pStyle w:val="46"/>
        <w:spacing w:before="120" w:after="120"/>
        <w:rPr>
          <w:rFonts w:hint="default" w:ascii="Times New Roman" w:eastAsia="宋体"/>
          <w:lang w:val="en-US" w:eastAsia="zh-CN"/>
        </w:rPr>
      </w:pPr>
      <w:r>
        <w:rPr>
          <w:rFonts w:hint="default" w:ascii="Times New Roman" w:eastAsia="宋体"/>
          <w:lang w:val="en-US" w:eastAsia="zh-CN"/>
        </w:rPr>
        <w:t>设备管理人员应按照设备制造商提供的操作说明，对设备进行安全操作和定期维护。</w:t>
      </w:r>
    </w:p>
    <w:p w14:paraId="3883A971">
      <w:pPr>
        <w:pStyle w:val="46"/>
        <w:spacing w:before="120" w:after="120"/>
        <w:rPr>
          <w:rFonts w:hint="eastAsia" w:eastAsia="宋体"/>
          <w:lang w:val="en-US" w:eastAsia="zh-CN"/>
        </w:rPr>
      </w:pPr>
      <w:r>
        <w:rPr>
          <w:rFonts w:hint="default" w:ascii="Times New Roman" w:eastAsia="宋体"/>
          <w:lang w:val="en-US" w:eastAsia="zh-CN"/>
        </w:rPr>
        <w:t>设备在</w:t>
      </w:r>
      <w:r>
        <w:rPr>
          <w:rFonts w:hint="default" w:ascii="Times New Roman" w:eastAsia="宋体"/>
        </w:rPr>
        <w:t>日常使用或定期维护中</w:t>
      </w:r>
      <w:r>
        <w:rPr>
          <w:rFonts w:hint="eastAsia" w:ascii="Times New Roman" w:eastAsia="宋体"/>
          <w:lang w:val="en-US" w:eastAsia="zh-CN"/>
        </w:rPr>
        <w:t>出现</w:t>
      </w:r>
      <w:r>
        <w:rPr>
          <w:rFonts w:hint="default" w:ascii="Times New Roman" w:eastAsia="宋体"/>
        </w:rPr>
        <w:t>故障或损坏时</w:t>
      </w:r>
      <w:r>
        <w:rPr>
          <w:rFonts w:hint="default" w:ascii="Times New Roman" w:eastAsia="宋体"/>
          <w:lang w:eastAsia="zh-CN"/>
        </w:rPr>
        <w:t>，</w:t>
      </w:r>
      <w:r>
        <w:rPr>
          <w:rFonts w:hint="default" w:ascii="Times New Roman" w:eastAsia="宋体"/>
          <w:lang w:val="en-US" w:eastAsia="zh-CN"/>
        </w:rPr>
        <w:t>应及时进行维修，</w:t>
      </w:r>
      <w:r>
        <w:rPr>
          <w:rFonts w:hint="default" w:ascii="Times New Roman" w:eastAsia="宋体"/>
        </w:rPr>
        <w:t>维修完成后对设备进行核查并填写相应台账</w:t>
      </w:r>
      <w:r>
        <w:rPr>
          <w:rFonts w:hint="default" w:ascii="Times New Roman" w:eastAsia="宋体"/>
          <w:lang w:eastAsia="zh-CN"/>
        </w:rPr>
        <w:t>。</w:t>
      </w:r>
    </w:p>
    <w:p w14:paraId="7CBEC787">
      <w:pPr>
        <w:pStyle w:val="44"/>
        <w:spacing w:before="240" w:after="240"/>
        <w:outlineLvl w:val="0"/>
      </w:pPr>
      <w:bookmarkStart w:id="126" w:name="_Toc22784"/>
      <w:bookmarkStart w:id="127" w:name="_Toc2939"/>
      <w:bookmarkStart w:id="128" w:name="_Toc28951"/>
      <w:bookmarkStart w:id="129" w:name="_Toc28014"/>
      <w:bookmarkStart w:id="130" w:name="_Toc28861"/>
      <w:bookmarkStart w:id="131" w:name="_Toc32544"/>
      <w:bookmarkStart w:id="132" w:name="_Toc3612"/>
      <w:bookmarkStart w:id="133" w:name="_Toc8106"/>
      <w:bookmarkStart w:id="134" w:name="_Toc29058"/>
      <w:bookmarkStart w:id="135" w:name="_Toc32133"/>
      <w:r>
        <w:rPr>
          <w:rFonts w:hint="eastAsia"/>
        </w:rPr>
        <w:t>物料</w:t>
      </w:r>
      <w:bookmarkEnd w:id="126"/>
      <w:bookmarkEnd w:id="127"/>
      <w:bookmarkEnd w:id="128"/>
      <w:bookmarkEnd w:id="129"/>
      <w:bookmarkEnd w:id="130"/>
      <w:bookmarkEnd w:id="131"/>
      <w:bookmarkEnd w:id="132"/>
      <w:bookmarkEnd w:id="133"/>
      <w:bookmarkEnd w:id="134"/>
      <w:bookmarkEnd w:id="135"/>
    </w:p>
    <w:p w14:paraId="6F138EBC">
      <w:pPr>
        <w:pStyle w:val="45"/>
        <w:spacing w:before="120" w:after="120"/>
        <w:rPr>
          <w:rFonts w:ascii="Times New Roman"/>
          <w:color w:val="000000" w:themeColor="text1"/>
          <w14:textFill>
            <w14:solidFill>
              <w14:schemeClr w14:val="tx1"/>
            </w14:solidFill>
          </w14:textFill>
        </w:rPr>
      </w:pPr>
      <w:r>
        <w:rPr>
          <w:rFonts w:hint="eastAsia" w:ascii="黑体"/>
          <w:lang w:val="en-US" w:eastAsia="zh-CN"/>
        </w:rPr>
        <w:t>物料的标识和标签</w:t>
      </w:r>
    </w:p>
    <w:p w14:paraId="6EAC2D18">
      <w:pPr>
        <w:pStyle w:val="46"/>
        <w:spacing w:before="120" w:after="120"/>
        <w:rPr>
          <w:rFonts w:hint="default" w:ascii="Times New Roman" w:eastAsia="宋体"/>
          <w:color w:val="auto"/>
          <w:lang w:val="en-US"/>
        </w:rPr>
      </w:pPr>
      <w:r>
        <w:rPr>
          <w:rFonts w:hint="default" w:ascii="Times New Roman" w:eastAsia="宋体"/>
          <w:color w:val="auto"/>
        </w:rPr>
        <w:t>物料应有明确的安全标识和标签</w:t>
      </w:r>
      <w:r>
        <w:rPr>
          <w:rFonts w:hint="default" w:ascii="Times New Roman" w:eastAsia="宋体"/>
          <w:color w:val="auto"/>
          <w:lang w:eastAsia="zh-CN"/>
        </w:rPr>
        <w:t>，</w:t>
      </w:r>
      <w:r>
        <w:rPr>
          <w:rFonts w:hint="default" w:ascii="Times New Roman" w:eastAsia="宋体"/>
          <w:color w:val="auto"/>
        </w:rPr>
        <w:t>应标注充分的信息，用以清晰界定不同物质，且使用人员应熟悉其相关危险特性。</w:t>
      </w:r>
    </w:p>
    <w:p w14:paraId="42F3983D">
      <w:pPr>
        <w:pStyle w:val="46"/>
        <w:spacing w:before="120" w:after="120"/>
        <w:rPr>
          <w:rFonts w:hint="default" w:ascii="Times New Roman"/>
          <w:color w:val="000000" w:themeColor="text1"/>
          <w:lang w:val="en-US"/>
          <w14:textFill>
            <w14:solidFill>
              <w14:schemeClr w14:val="tx1"/>
            </w14:solidFill>
          </w14:textFill>
        </w:rPr>
      </w:pPr>
      <w:r>
        <w:rPr>
          <w:rFonts w:hint="default" w:ascii="Times New Roman" w:eastAsia="宋体"/>
          <w:color w:val="auto"/>
          <w:lang w:val="en-US" w:eastAsia="zh-CN"/>
        </w:rPr>
        <w:t>物料的安全标识参照GB30000，</w:t>
      </w:r>
      <w:r>
        <w:rPr>
          <w:rFonts w:hint="default" w:ascii="Times New Roman" w:eastAsia="宋体"/>
          <w:color w:val="auto"/>
        </w:rPr>
        <w:t>具体安全标签编写规定参照GB</w:t>
      </w:r>
      <w:r>
        <w:rPr>
          <w:rFonts w:hint="default" w:ascii="Times New Roman" w:eastAsia="宋体"/>
          <w:color w:val="auto"/>
          <w:lang w:val="en-US" w:eastAsia="zh-CN"/>
        </w:rPr>
        <w:t xml:space="preserve"> </w:t>
      </w:r>
      <w:r>
        <w:rPr>
          <w:rFonts w:ascii="Times New Roman" w:eastAsia="宋体"/>
          <w:color w:val="auto"/>
        </w:rPr>
        <w:t>15258</w:t>
      </w:r>
      <w:r>
        <w:rPr>
          <w:rFonts w:hint="default" w:ascii="Times New Roman" w:eastAsia="宋体"/>
          <w:color w:val="auto"/>
          <w:lang w:eastAsia="zh-CN"/>
        </w:rPr>
        <w:t>，</w:t>
      </w:r>
      <w:r>
        <w:rPr>
          <w:rFonts w:hint="default" w:ascii="Times New Roman" w:eastAsia="宋体"/>
          <w:color w:val="auto"/>
        </w:rPr>
        <w:t>对需要警示的物料参照GB</w:t>
      </w:r>
      <w:r>
        <w:rPr>
          <w:rFonts w:hint="default" w:ascii="Times New Roman" w:eastAsia="宋体"/>
          <w:color w:val="auto"/>
          <w:lang w:val="en-US" w:eastAsia="zh-CN"/>
        </w:rPr>
        <w:t xml:space="preserve"> </w:t>
      </w:r>
      <w:r>
        <w:rPr>
          <w:rFonts w:hint="default" w:ascii="Times New Roman" w:hAnsi="Times New Roman" w:eastAsia="宋体" w:cs="Times New Roman"/>
          <w:color w:val="auto"/>
          <w:szCs w:val="21"/>
        </w:rPr>
        <w:t>2894</w:t>
      </w:r>
      <w:r>
        <w:rPr>
          <w:rFonts w:hint="default" w:ascii="Times New Roman" w:eastAsia="宋体"/>
          <w:color w:val="auto"/>
        </w:rPr>
        <w:t>张贴警示标识</w:t>
      </w:r>
      <w:r>
        <w:rPr>
          <w:rFonts w:hint="default" w:ascii="Times New Roman" w:hAnsi="Times New Roman" w:eastAsia="宋体" w:cs="Times New Roman"/>
          <w:color w:val="auto"/>
          <w:szCs w:val="21"/>
        </w:rPr>
        <w:t>。</w:t>
      </w:r>
    </w:p>
    <w:p w14:paraId="7234FC2E">
      <w:pPr>
        <w:pStyle w:val="45"/>
        <w:spacing w:before="120" w:after="120"/>
        <w:rPr>
          <w:rFonts w:hint="eastAsia" w:ascii="黑体" w:eastAsia="黑体"/>
          <w:lang w:val="en-US" w:eastAsia="zh-CN"/>
        </w:rPr>
      </w:pPr>
      <w:r>
        <w:rPr>
          <w:rFonts w:hint="default" w:ascii="Times New Roman"/>
        </w:rPr>
        <w:t>物料的储存</w:t>
      </w:r>
      <w:r>
        <w:rPr>
          <w:rFonts w:hint="eastAsia" w:ascii="黑体"/>
          <w:lang w:eastAsia="zh-CN"/>
        </w:rPr>
        <w:t>、</w:t>
      </w:r>
      <w:r>
        <w:rPr>
          <w:rFonts w:hint="default" w:ascii="Times New Roman"/>
        </w:rPr>
        <w:t>使用</w:t>
      </w:r>
      <w:r>
        <w:rPr>
          <w:rFonts w:hint="eastAsia" w:ascii="黑体"/>
          <w:lang w:val="en-US" w:eastAsia="zh-CN"/>
        </w:rPr>
        <w:t>和处置</w:t>
      </w:r>
    </w:p>
    <w:p w14:paraId="2245FF4E">
      <w:pPr>
        <w:pStyle w:val="46"/>
        <w:spacing w:before="120" w:after="12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物料的储存、使用和处置应参照GB/T 27476.5中5.6的相应要求</w:t>
      </w:r>
      <w:r>
        <w:rPr>
          <w:rFonts w:hint="eastAsia" w:ascii="Times New Roman" w:eastAsia="宋体" w:cs="Times New Roman"/>
          <w:color w:val="000000" w:themeColor="text1"/>
          <w:lang w:val="en-US" w:eastAsia="zh-CN"/>
          <w14:textFill>
            <w14:solidFill>
              <w14:schemeClr w14:val="tx1"/>
            </w14:solidFill>
          </w14:textFill>
        </w:rPr>
        <w:t>。</w:t>
      </w:r>
    </w:p>
    <w:p w14:paraId="5A2E0C13">
      <w:pPr>
        <w:pStyle w:val="46"/>
        <w:spacing w:before="120" w:after="12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应定期对物料的储存进行系统检查，发现储备物已过期或不稳定、摆放不规范、固定不牢靠等情况时，应及时处理</w:t>
      </w:r>
      <w:r>
        <w:rPr>
          <w:rFonts w:hint="eastAsia" w:ascii="Times New Roman" w:eastAsia="宋体" w:cs="Times New Roman"/>
          <w:color w:val="000000" w:themeColor="text1"/>
          <w:lang w:val="en-US" w:eastAsia="zh-CN"/>
          <w14:textFill>
            <w14:solidFill>
              <w14:schemeClr w14:val="tx1"/>
            </w14:solidFill>
          </w14:textFill>
        </w:rPr>
        <w:t>。</w:t>
      </w:r>
    </w:p>
    <w:p w14:paraId="72BDCBDC">
      <w:pPr>
        <w:pStyle w:val="46"/>
        <w:spacing w:before="120" w:after="12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容器的材质、容积应与物料匹配，容器的隔离储存应符合GB 15603的要求</w:t>
      </w:r>
      <w:r>
        <w:rPr>
          <w:rFonts w:hint="eastAsia" w:ascii="Times New Roman" w:eastAsia="宋体" w:cs="Times New Roman"/>
          <w:color w:val="000000" w:themeColor="text1"/>
          <w:lang w:val="en-US" w:eastAsia="zh-CN"/>
          <w14:textFill>
            <w14:solidFill>
              <w14:schemeClr w14:val="tx1"/>
            </w14:solidFill>
          </w14:textFill>
        </w:rPr>
        <w:t>。</w:t>
      </w:r>
    </w:p>
    <w:p w14:paraId="607AA828">
      <w:pPr>
        <w:pStyle w:val="46"/>
        <w:spacing w:before="120" w:after="12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物料的使用应详细记录，填写物料出入库记录</w:t>
      </w:r>
      <w:r>
        <w:rPr>
          <w:rFonts w:hint="eastAsia" w:ascii="Times New Roman" w:eastAsia="宋体" w:cs="Times New Roman"/>
          <w:color w:val="000000" w:themeColor="text1"/>
          <w:lang w:val="en-US" w:eastAsia="zh-CN"/>
          <w14:textFill>
            <w14:solidFill>
              <w14:schemeClr w14:val="tx1"/>
            </w14:solidFill>
          </w14:textFill>
        </w:rPr>
        <w:t>。</w:t>
      </w:r>
    </w:p>
    <w:p w14:paraId="3BCE35C7">
      <w:pPr>
        <w:pStyle w:val="46"/>
        <w:spacing w:before="120" w:beforeLines="0" w:after="120" w:afterLines="0"/>
        <w:ind w:left="0"/>
        <w:jc w:val="left"/>
        <w:rPr>
          <w:rFonts w:hint="default" w:ascii="Times New Roman" w:eastAsia="宋体"/>
          <w:lang w:val="en-US" w:eastAsia="zh-CN"/>
        </w:rPr>
      </w:pPr>
      <w:r>
        <w:rPr>
          <w:rFonts w:hint="default" w:ascii="Times New Roman" w:hAnsi="Times New Roman" w:eastAsia="宋体" w:cs="Times New Roman"/>
          <w:color w:val="000000" w:themeColor="text1"/>
          <w:lang w:val="en-US" w:eastAsia="zh-CN"/>
          <w14:textFill>
            <w14:solidFill>
              <w14:schemeClr w14:val="tx1"/>
            </w14:solidFill>
          </w14:textFill>
        </w:rPr>
        <w:t>物料中废弃物的收集应标识清楚，使其对收集人员以及环境可能存在的危害降至最小。参照GB/T 27476、GB 19489的相关要求进行废弃物收集，危险废弃物的贮存应符合GB18597的相关要求，交由有资质的</w:t>
      </w:r>
      <w:r>
        <w:rPr>
          <w:rFonts w:hint="eastAsia" w:ascii="Times New Roman" w:eastAsia="宋体" w:cs="Times New Roman"/>
          <w:color w:val="000000" w:themeColor="text1"/>
          <w:lang w:val="en-US" w:eastAsia="zh-CN"/>
          <w14:textFill>
            <w14:solidFill>
              <w14:schemeClr w14:val="tx1"/>
            </w14:solidFill>
          </w14:textFill>
        </w:rPr>
        <w:t>机构</w:t>
      </w:r>
      <w:r>
        <w:rPr>
          <w:rFonts w:hint="default" w:ascii="Times New Roman" w:hAnsi="Times New Roman" w:eastAsia="宋体" w:cs="Times New Roman"/>
          <w:color w:val="000000" w:themeColor="text1"/>
          <w:lang w:val="en-US" w:eastAsia="zh-CN"/>
          <w14:textFill>
            <w14:solidFill>
              <w14:schemeClr w14:val="tx1"/>
            </w14:solidFill>
          </w14:textFill>
        </w:rPr>
        <w:t>处置。</w:t>
      </w:r>
      <w:bookmarkStart w:id="136" w:name="_Toc23257"/>
    </w:p>
    <w:p w14:paraId="1306B4F8">
      <w:pPr>
        <w:pStyle w:val="44"/>
        <w:spacing w:before="240" w:after="240"/>
        <w:outlineLvl w:val="0"/>
        <w:rPr>
          <w:rFonts w:hAnsi="黑体" w:cs="黑体"/>
          <w:szCs w:val="21"/>
        </w:rPr>
      </w:pPr>
      <w:bookmarkStart w:id="137" w:name="_Toc28298"/>
      <w:bookmarkStart w:id="138" w:name="_Toc1389"/>
      <w:bookmarkStart w:id="139" w:name="_Toc6613"/>
      <w:bookmarkStart w:id="140" w:name="_Toc29693"/>
      <w:bookmarkStart w:id="141" w:name="_Toc25608"/>
      <w:bookmarkStart w:id="142" w:name="_Toc11276"/>
      <w:bookmarkStart w:id="143" w:name="_Toc25124"/>
      <w:bookmarkStart w:id="144" w:name="_Toc598"/>
      <w:bookmarkStart w:id="145" w:name="_Toc13468"/>
      <w:r>
        <w:rPr>
          <w:rFonts w:hint="eastAsia" w:hAnsi="黑体" w:cs="黑体"/>
          <w:szCs w:val="21"/>
        </w:rPr>
        <w:t>危险源辨识</w:t>
      </w:r>
      <w:bookmarkEnd w:id="136"/>
      <w:bookmarkEnd w:id="137"/>
      <w:bookmarkEnd w:id="138"/>
      <w:bookmarkEnd w:id="139"/>
      <w:bookmarkEnd w:id="140"/>
      <w:bookmarkEnd w:id="141"/>
      <w:bookmarkEnd w:id="142"/>
      <w:bookmarkEnd w:id="143"/>
      <w:bookmarkEnd w:id="144"/>
      <w:bookmarkEnd w:id="145"/>
      <w:r>
        <w:rPr>
          <w:rFonts w:hint="eastAsia" w:hAnsi="黑体" w:cs="黑体"/>
          <w:szCs w:val="21"/>
        </w:rPr>
        <w:t xml:space="preserve"> </w:t>
      </w:r>
    </w:p>
    <w:p w14:paraId="0475E121">
      <w:pPr>
        <w:pStyle w:val="45"/>
        <w:spacing w:before="120" w:after="120"/>
      </w:pPr>
      <w:r>
        <w:rPr>
          <w:rFonts w:hint="eastAsia"/>
          <w:lang w:val="en-US" w:eastAsia="zh-CN"/>
        </w:rPr>
        <w:t>一般要求</w:t>
      </w:r>
    </w:p>
    <w:p w14:paraId="70A6828D">
      <w:pPr>
        <w:pStyle w:val="46"/>
        <w:spacing w:before="120" w:after="120"/>
        <w:rPr>
          <w:rFonts w:ascii="Times New Roman"/>
        </w:rPr>
      </w:pPr>
      <w:r>
        <w:rPr>
          <w:rFonts w:hint="default" w:ascii="Times New Roman" w:hAnsi="Times New Roman" w:eastAsia="宋体" w:cs="Times New Roman"/>
          <w:bCs/>
          <w:lang w:val="en-US" w:eastAsia="zh-CN"/>
        </w:rPr>
        <w:t>生态环境监测活动涉及的人、物、环境及管理因素等危险源按照GB 39800.1中附录C界定</w:t>
      </w:r>
      <w:r>
        <w:rPr>
          <w:rFonts w:hint="default" w:ascii="Times New Roman" w:hAnsi="Times New Roman" w:eastAsia="宋体" w:cs="Times New Roman"/>
          <w:bCs/>
        </w:rPr>
        <w:t>。</w:t>
      </w:r>
    </w:p>
    <w:p w14:paraId="4D3DE364">
      <w:pPr>
        <w:pStyle w:val="46"/>
        <w:spacing w:before="120" w:after="120"/>
        <w:rPr>
          <w:rFonts w:hint="default" w:ascii="Times New Roman" w:hAnsi="Times New Roman" w:eastAsia="宋体" w:cs="Times New Roman"/>
          <w:bCs/>
        </w:rPr>
      </w:pPr>
      <w:r>
        <w:rPr>
          <w:rFonts w:hint="eastAsia" w:ascii="宋体" w:hAnsi="宋体" w:eastAsia="宋体" w:cs="宋体"/>
          <w:bCs/>
          <w:lang w:val="en-US" w:eastAsia="zh-CN"/>
        </w:rPr>
        <w:t>生态环境监测活动中</w:t>
      </w:r>
      <w:r>
        <w:rPr>
          <w:rFonts w:hint="eastAsia" w:ascii="宋体" w:hAnsi="宋体" w:eastAsia="宋体" w:cs="宋体"/>
          <w:bCs/>
        </w:rPr>
        <w:t>危险源类型</w:t>
      </w:r>
      <w:r>
        <w:rPr>
          <w:rFonts w:hint="eastAsia" w:ascii="宋体" w:hAnsi="宋体" w:eastAsia="宋体" w:cs="宋体"/>
          <w:bCs/>
          <w:lang w:val="en-US" w:eastAsia="zh-CN"/>
        </w:rPr>
        <w:t>参考</w:t>
      </w:r>
      <w:r>
        <w:rPr>
          <w:rFonts w:hint="default" w:ascii="Times New Roman" w:hAnsi="Times New Roman" w:eastAsia="宋体" w:cs="Times New Roman"/>
          <w:bCs/>
        </w:rPr>
        <w:t>GB</w:t>
      </w:r>
      <w:r>
        <w:rPr>
          <w:rFonts w:hint="eastAsia" w:ascii="Times New Roman" w:eastAsia="宋体" w:cs="Times New Roman"/>
          <w:bCs/>
          <w:lang w:val="en-US" w:eastAsia="zh-CN"/>
        </w:rPr>
        <w:t>/T</w:t>
      </w:r>
      <w:r>
        <w:rPr>
          <w:rFonts w:hint="default" w:ascii="Times New Roman" w:hAnsi="Times New Roman" w:eastAsia="宋体" w:cs="Times New Roman"/>
          <w:bCs/>
        </w:rPr>
        <w:t>13861</w:t>
      </w:r>
      <w:r>
        <w:rPr>
          <w:rFonts w:hint="eastAsia" w:ascii="Times New Roman" w:eastAsia="宋体" w:cs="Times New Roman"/>
          <w:bCs/>
          <w:lang w:val="en-US" w:eastAsia="zh-CN"/>
        </w:rPr>
        <w:t>进行</w:t>
      </w:r>
      <w:r>
        <w:rPr>
          <w:rFonts w:hint="default" w:ascii="Times New Roman" w:hAnsi="Times New Roman" w:eastAsia="宋体" w:cs="Times New Roman"/>
          <w:bCs/>
          <w:lang w:val="en-US" w:eastAsia="zh-CN"/>
        </w:rPr>
        <w:t>区分</w:t>
      </w:r>
      <w:r>
        <w:rPr>
          <w:rFonts w:hint="default" w:ascii="Times New Roman" w:hAnsi="Times New Roman" w:eastAsia="宋体" w:cs="Times New Roman"/>
          <w:bCs/>
        </w:rPr>
        <w:t>。</w:t>
      </w:r>
    </w:p>
    <w:p w14:paraId="056A434D">
      <w:pPr>
        <w:pStyle w:val="45"/>
        <w:spacing w:before="120" w:after="120"/>
      </w:pPr>
      <w:r>
        <w:rPr>
          <w:rFonts w:hint="eastAsia"/>
          <w:lang w:val="en-US" w:eastAsia="zh-CN"/>
        </w:rPr>
        <w:t>危险源识别</w:t>
      </w:r>
    </w:p>
    <w:p w14:paraId="2F55F6FA">
      <w:pPr>
        <w:pStyle w:val="41"/>
        <w:rPr>
          <w:rFonts w:hint="default" w:eastAsia="宋体"/>
          <w:lang w:val="en-US" w:eastAsia="zh-CN"/>
        </w:rPr>
      </w:pPr>
      <w:r>
        <w:rPr>
          <w:rFonts w:hint="eastAsia"/>
          <w:lang w:val="en-US" w:eastAsia="zh-CN"/>
        </w:rPr>
        <w:t>生态环境监测机构识别危险源要充分考虑不同状态下人的行为、物的状态、监测活动环境以及安全管理等4个方面不安全因素。</w:t>
      </w:r>
    </w:p>
    <w:p w14:paraId="548AF95A">
      <w:pPr>
        <w:pStyle w:val="46"/>
        <w:spacing w:before="120" w:after="120"/>
        <w:rPr>
          <w:rFonts w:hint="eastAsia" w:ascii="宋体" w:hAnsi="宋体" w:eastAsia="宋体" w:cs="宋体"/>
          <w:bCs/>
        </w:rPr>
      </w:pPr>
      <w:r>
        <w:rPr>
          <w:rFonts w:hint="eastAsia" w:hAnsi="黑体" w:cs="黑体"/>
          <w:bCs/>
          <w:lang w:val="en-US" w:eastAsia="zh-CN"/>
        </w:rPr>
        <w:t>辨识方法</w:t>
      </w:r>
    </w:p>
    <w:p w14:paraId="480EC86F">
      <w:pPr>
        <w:pStyle w:val="41"/>
        <w:spacing w:before="120" w:after="120"/>
        <w:rPr>
          <w:rFonts w:hint="default"/>
        </w:rPr>
      </w:pPr>
      <w:r>
        <w:rPr>
          <w:rFonts w:hint="eastAsia" w:hAnsi="宋体" w:cs="宋体"/>
          <w:bCs/>
          <w:lang w:val="en-US" w:eastAsia="zh-CN"/>
        </w:rPr>
        <w:t>生态环境监测活动危险源辨识宜采用工作危害分析法（JHA）（参见附录A），设施设备的危险源辨识宜采用安全检查表分析法（SCL）（参见附录B）。</w:t>
      </w:r>
    </w:p>
    <w:p w14:paraId="6C2F9A7B">
      <w:pPr>
        <w:pStyle w:val="46"/>
        <w:spacing w:before="120" w:after="120"/>
        <w:rPr>
          <w:rFonts w:hint="eastAsia" w:ascii="黑体" w:hAnsi="黑体" w:eastAsia="黑体" w:cs="黑体"/>
          <w:bCs/>
        </w:rPr>
      </w:pPr>
      <w:r>
        <w:rPr>
          <w:rFonts w:hint="eastAsia" w:hAnsi="黑体" w:cs="黑体"/>
          <w:bCs/>
          <w:lang w:val="en-US" w:eastAsia="zh-CN"/>
        </w:rPr>
        <w:t>辨识范围</w:t>
      </w:r>
    </w:p>
    <w:p w14:paraId="7CFB1ED8">
      <w:pPr>
        <w:pStyle w:val="41"/>
        <w:spacing w:before="120" w:after="120"/>
        <w:rPr>
          <w:rFonts w:hint="eastAsia" w:ascii="Times New Roman" w:cs="Times New Roman"/>
          <w:bCs/>
          <w:lang w:val="en-US" w:eastAsia="zh-CN"/>
        </w:rPr>
      </w:pPr>
      <w:r>
        <w:rPr>
          <w:rFonts w:hint="eastAsia" w:ascii="Times New Roman" w:cs="Times New Roman"/>
          <w:bCs/>
          <w:lang w:val="en-US" w:eastAsia="zh-CN"/>
        </w:rPr>
        <w:t>危险源的辨识范围应覆盖所有的生态环境监测活动和设施设备，包括：</w:t>
      </w:r>
    </w:p>
    <w:p w14:paraId="7EE3A41D">
      <w:pPr>
        <w:ind w:firstLine="420" w:firstLineChars="200"/>
        <w:rPr>
          <w:rFonts w:hint="eastAsia" w:ascii="宋体" w:hAnsi="宋体" w:cs="宋体"/>
          <w:szCs w:val="21"/>
        </w:rPr>
      </w:pPr>
      <w:r>
        <w:rPr>
          <w:rFonts w:hint="eastAsia" w:ascii="Times New Roman" w:hAnsi="Times New Roman" w:cs="Times New Roman"/>
          <w:szCs w:val="21"/>
          <w:lang w:val="en-US" w:eastAsia="zh-CN"/>
        </w:rPr>
        <w:t>a）</w:t>
      </w:r>
      <w:r>
        <w:rPr>
          <w:rFonts w:hint="eastAsia" w:ascii="宋体" w:hAnsi="宋体" w:cs="宋体"/>
          <w:szCs w:val="21"/>
        </w:rPr>
        <w:t>常规和非常规</w:t>
      </w:r>
      <w:r>
        <w:rPr>
          <w:rFonts w:hint="eastAsia" w:ascii="宋体" w:hAnsi="宋体" w:cs="宋体"/>
          <w:szCs w:val="21"/>
          <w:lang w:val="en-US" w:eastAsia="zh-CN"/>
        </w:rPr>
        <w:t>监测</w:t>
      </w:r>
      <w:r>
        <w:rPr>
          <w:rFonts w:hint="eastAsia" w:ascii="宋体" w:hAnsi="宋体" w:cs="宋体"/>
          <w:szCs w:val="21"/>
        </w:rPr>
        <w:t>活动；</w:t>
      </w:r>
    </w:p>
    <w:p w14:paraId="25AE2FC6">
      <w:pPr>
        <w:ind w:firstLine="420" w:firstLineChars="200"/>
        <w:rPr>
          <w:rFonts w:hint="eastAsia" w:ascii="宋体" w:hAnsi="宋体" w:cs="宋体"/>
          <w:szCs w:val="21"/>
        </w:rPr>
      </w:pPr>
      <w:r>
        <w:rPr>
          <w:rFonts w:hint="eastAsia" w:ascii="Times New Roman" w:hAnsi="Times New Roman" w:cs="Times New Roman"/>
          <w:szCs w:val="21"/>
          <w:lang w:val="en-US" w:eastAsia="zh-CN"/>
        </w:rPr>
        <w:t>b）</w:t>
      </w:r>
      <w:r>
        <w:rPr>
          <w:rFonts w:hint="eastAsia" w:ascii="宋体" w:hAnsi="宋体" w:cs="宋体"/>
          <w:szCs w:val="21"/>
        </w:rPr>
        <w:t>事故及潜在的紧急情况；</w:t>
      </w:r>
    </w:p>
    <w:p w14:paraId="5945DE8E">
      <w:pPr>
        <w:ind w:firstLine="420" w:firstLineChars="200"/>
        <w:rPr>
          <w:rFonts w:hint="eastAsia" w:ascii="宋体" w:hAnsi="宋体" w:cs="宋体"/>
          <w:szCs w:val="21"/>
        </w:rPr>
      </w:pPr>
      <w:r>
        <w:rPr>
          <w:rFonts w:hint="eastAsia" w:ascii="Times New Roman" w:hAnsi="Times New Roman" w:cs="Times New Roman"/>
          <w:szCs w:val="21"/>
          <w:lang w:val="en-US" w:eastAsia="zh-CN"/>
        </w:rPr>
        <w:t>c）</w:t>
      </w:r>
      <w:r>
        <w:rPr>
          <w:rFonts w:hint="eastAsia" w:ascii="宋体" w:hAnsi="宋体" w:cs="宋体"/>
          <w:szCs w:val="21"/>
        </w:rPr>
        <w:t>所有进入</w:t>
      </w:r>
      <w:r>
        <w:rPr>
          <w:rFonts w:hint="eastAsia" w:ascii="宋体" w:hAnsi="宋体" w:cs="宋体"/>
          <w:szCs w:val="21"/>
          <w:lang w:val="en-US" w:eastAsia="zh-CN"/>
        </w:rPr>
        <w:t>监测活动</w:t>
      </w:r>
      <w:r>
        <w:rPr>
          <w:rFonts w:hint="eastAsia" w:ascii="宋体" w:hAnsi="宋体" w:cs="宋体"/>
          <w:szCs w:val="21"/>
        </w:rPr>
        <w:t>场所的人员活动；</w:t>
      </w:r>
    </w:p>
    <w:p w14:paraId="2F83C009">
      <w:pPr>
        <w:ind w:firstLine="420" w:firstLineChars="200"/>
        <w:rPr>
          <w:rFonts w:hint="eastAsia" w:ascii="宋体" w:hAnsi="宋体" w:cs="宋体"/>
          <w:szCs w:val="21"/>
        </w:rPr>
      </w:pPr>
      <w:r>
        <w:rPr>
          <w:rFonts w:hint="eastAsia" w:ascii="Times New Roman" w:hAnsi="Times New Roman" w:cs="Times New Roman"/>
          <w:szCs w:val="21"/>
          <w:lang w:val="en-US" w:eastAsia="zh-CN"/>
        </w:rPr>
        <w:t>d）</w:t>
      </w:r>
      <w:r>
        <w:rPr>
          <w:rFonts w:hint="eastAsia" w:ascii="宋体" w:hAnsi="宋体" w:cs="宋体"/>
          <w:szCs w:val="21"/>
          <w:lang w:val="en-US" w:eastAsia="zh-CN"/>
        </w:rPr>
        <w:t>监测活动涉及</w:t>
      </w:r>
      <w:r>
        <w:rPr>
          <w:rFonts w:hint="eastAsia" w:ascii="宋体" w:hAnsi="宋体" w:cs="宋体"/>
          <w:szCs w:val="21"/>
        </w:rPr>
        <w:t>的设施、设备、车辆、安全防护用品；</w:t>
      </w:r>
    </w:p>
    <w:p w14:paraId="2A35802F">
      <w:pPr>
        <w:ind w:firstLine="420" w:firstLineChars="200"/>
        <w:rPr>
          <w:rFonts w:hint="default" w:ascii="宋体" w:hAnsi="宋体" w:cs="宋体" w:eastAsiaTheme="minorEastAsia"/>
          <w:szCs w:val="21"/>
          <w:lang w:val="en-US" w:eastAsia="zh-CN"/>
        </w:rPr>
      </w:pPr>
      <w:r>
        <w:rPr>
          <w:rFonts w:hint="eastAsia" w:ascii="Times New Roman" w:hAnsi="Times New Roman" w:cs="Times New Roman"/>
          <w:szCs w:val="21"/>
          <w:lang w:val="en-US" w:eastAsia="zh-CN"/>
        </w:rPr>
        <w:t>e）</w:t>
      </w:r>
      <w:r>
        <w:rPr>
          <w:rFonts w:hint="eastAsia" w:ascii="宋体" w:hAnsi="宋体" w:cs="宋体"/>
          <w:szCs w:val="21"/>
          <w:lang w:val="en-US" w:eastAsia="zh-CN"/>
        </w:rPr>
        <w:t>人为因素，包括违反安全操作规程和安全管理制度。</w:t>
      </w:r>
    </w:p>
    <w:p w14:paraId="4E5EB910">
      <w:pPr>
        <w:pStyle w:val="46"/>
        <w:spacing w:before="120" w:after="120"/>
        <w:rPr>
          <w:rFonts w:hint="eastAsia" w:ascii="黑体" w:hAnsi="黑体" w:eastAsia="黑体" w:cs="黑体"/>
          <w:bCs/>
        </w:rPr>
      </w:pPr>
      <w:r>
        <w:rPr>
          <w:rFonts w:hint="eastAsia" w:ascii="宋体" w:hAnsi="宋体" w:cs="宋体"/>
          <w:szCs w:val="21"/>
          <w:lang w:val="en-US" w:eastAsia="zh-CN"/>
        </w:rPr>
        <w:t>危险源确认</w:t>
      </w:r>
    </w:p>
    <w:p w14:paraId="402EB564">
      <w:pPr>
        <w:ind w:firstLine="420" w:firstLineChars="200"/>
        <w:rPr>
          <w:rFonts w:hint="default" w:eastAsia="宋体"/>
          <w:lang w:val="en-US" w:eastAsia="zh-CN"/>
        </w:rPr>
      </w:pPr>
      <w:r>
        <w:rPr>
          <w:rFonts w:hint="eastAsia" w:ascii="Times New Roman" w:hAnsi="Times New Roman" w:eastAsia="宋体" w:cs="Times New Roman"/>
          <w:bCs/>
          <w:lang w:val="en-US" w:eastAsia="zh-CN"/>
        </w:rPr>
        <w:t>生态环境监测机构应组织安全责任人、安全员、设备管理人员以及岗位作业人员进行集体讨论，对可能造成严重事故，危险性高的危险源进行确认，对于一般性的危险源纳入日常安全管理。</w:t>
      </w:r>
    </w:p>
    <w:p w14:paraId="605A0513">
      <w:pPr>
        <w:pStyle w:val="44"/>
        <w:spacing w:before="240" w:after="240"/>
        <w:outlineLvl w:val="0"/>
        <w:rPr>
          <w:rFonts w:hAnsi="黑体" w:cs="黑体"/>
          <w:szCs w:val="21"/>
        </w:rPr>
      </w:pPr>
      <w:bookmarkStart w:id="146" w:name="_Toc4895"/>
      <w:bookmarkStart w:id="147" w:name="_Toc9008"/>
      <w:bookmarkStart w:id="148" w:name="_Toc29148"/>
      <w:bookmarkStart w:id="149" w:name="_Toc27529"/>
      <w:bookmarkStart w:id="150" w:name="_Toc30737"/>
      <w:bookmarkStart w:id="151" w:name="_Toc13329"/>
      <w:bookmarkStart w:id="152" w:name="_Toc8186"/>
      <w:bookmarkStart w:id="153" w:name="_Toc32419"/>
      <w:bookmarkStart w:id="154" w:name="_Toc6760"/>
      <w:bookmarkStart w:id="155" w:name="_Toc17371"/>
      <w:r>
        <w:rPr>
          <w:rFonts w:hint="eastAsia" w:hAnsi="黑体" w:cs="黑体"/>
          <w:szCs w:val="21"/>
        </w:rPr>
        <w:t>风险评价</w:t>
      </w:r>
      <w:bookmarkEnd w:id="146"/>
      <w:bookmarkEnd w:id="147"/>
      <w:bookmarkEnd w:id="148"/>
      <w:bookmarkEnd w:id="149"/>
      <w:bookmarkEnd w:id="150"/>
      <w:bookmarkEnd w:id="151"/>
      <w:bookmarkEnd w:id="152"/>
      <w:bookmarkEnd w:id="153"/>
      <w:bookmarkEnd w:id="154"/>
      <w:bookmarkEnd w:id="155"/>
    </w:p>
    <w:p w14:paraId="1A58D0C2">
      <w:pPr>
        <w:pStyle w:val="45"/>
        <w:spacing w:before="120" w:after="120"/>
        <w:rPr>
          <w:rFonts w:hint="default" w:ascii="Times New Roman" w:hAnsi="Times New Roman" w:eastAsia="黑体" w:cs="Times New Roman"/>
        </w:rPr>
      </w:pPr>
      <w:r>
        <w:rPr>
          <w:rFonts w:hint="default" w:ascii="Times New Roman" w:hAnsi="Times New Roman" w:eastAsia="黑体" w:cs="Times New Roman"/>
          <w:lang w:val="en-US" w:eastAsia="zh-CN"/>
        </w:rPr>
        <w:t>风险评价</w:t>
      </w:r>
      <w:r>
        <w:rPr>
          <w:rFonts w:hint="eastAsia" w:ascii="Times New Roman" w:cs="Times New Roman"/>
          <w:lang w:val="en-US" w:eastAsia="zh-CN"/>
        </w:rPr>
        <w:t>内容</w:t>
      </w:r>
    </w:p>
    <w:p w14:paraId="0B2911A1">
      <w:pPr>
        <w:pStyle w:val="45"/>
        <w:numPr>
          <w:ilvl w:val="-1"/>
          <w:numId w:val="0"/>
        </w:numPr>
        <w:spacing w:before="120" w:after="120"/>
        <w:ind w:firstLine="420" w:firstLineChars="200"/>
        <w:rPr>
          <w:rFonts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对生态环境监测活动</w:t>
      </w:r>
      <w:r>
        <w:rPr>
          <w:rFonts w:hint="eastAsia" w:ascii="Times New Roman" w:cs="Times New Roman" w:eastAsiaTheme="minorEastAsia"/>
          <w:color w:val="000000" w:themeColor="text1"/>
          <w:lang w:val="en-US" w:eastAsia="zh-CN"/>
          <w14:textFill>
            <w14:solidFill>
              <w14:schemeClr w14:val="tx1"/>
            </w14:solidFill>
          </w14:textFill>
        </w:rPr>
        <w:t>的所有工作、</w:t>
      </w:r>
      <w:r>
        <w:rPr>
          <w:rFonts w:hint="default" w:ascii="Times New Roman" w:hAnsi="Times New Roman" w:cs="Times New Roman" w:eastAsiaTheme="minorEastAsia"/>
          <w:color w:val="000000" w:themeColor="text1"/>
          <w:lang w:val="en-US" w:eastAsia="zh-CN"/>
          <w14:textFill>
            <w14:solidFill>
              <w14:schemeClr w14:val="tx1"/>
            </w14:solidFill>
          </w14:textFill>
        </w:rPr>
        <w:t>设施</w:t>
      </w:r>
      <w:r>
        <w:rPr>
          <w:rFonts w:hint="eastAsia" w:ascii="Times New Roman" w:cs="Times New Roman" w:eastAsiaTheme="minorEastAsia"/>
          <w:color w:val="000000" w:themeColor="text1"/>
          <w:lang w:val="en-US" w:eastAsia="zh-CN"/>
          <w14:textFill>
            <w14:solidFill>
              <w14:schemeClr w14:val="tx1"/>
            </w14:solidFill>
          </w14:textFill>
        </w:rPr>
        <w:t>设备</w:t>
      </w:r>
      <w:r>
        <w:rPr>
          <w:rFonts w:hint="default" w:ascii="Times New Roman" w:hAnsi="Times New Roman" w:cs="Times New Roman" w:eastAsiaTheme="minorEastAsia"/>
          <w:color w:val="000000" w:themeColor="text1"/>
          <w:lang w:val="en-US" w:eastAsia="zh-CN"/>
          <w14:textFill>
            <w14:solidFill>
              <w14:schemeClr w14:val="tx1"/>
            </w14:solidFill>
          </w14:textFill>
        </w:rPr>
        <w:t>、场所进行风险评价，</w:t>
      </w:r>
      <w:r>
        <w:rPr>
          <w:rFonts w:hint="default" w:ascii="Times New Roman" w:hAnsi="Times New Roman" w:cs="Times New Roman" w:eastAsiaTheme="minorEastAsia"/>
          <w:color w:val="000000" w:themeColor="text1"/>
          <w14:textFill>
            <w14:solidFill>
              <w14:schemeClr w14:val="tx1"/>
            </w14:solidFill>
          </w14:textFill>
        </w:rPr>
        <w:t>风险评价应</w:t>
      </w:r>
      <w:r>
        <w:rPr>
          <w:rFonts w:hint="eastAsia" w:ascii="Times New Roman" w:cs="Times New Roman" w:eastAsiaTheme="minorEastAsia"/>
          <w:color w:val="000000" w:themeColor="text1"/>
          <w:lang w:val="en-US" w:eastAsia="zh-CN"/>
          <w14:textFill>
            <w14:solidFill>
              <w14:schemeClr w14:val="tx1"/>
            </w14:solidFill>
          </w14:textFill>
        </w:rPr>
        <w:t>考虑（但不限于）以下内容</w:t>
      </w:r>
      <w:r>
        <w:rPr>
          <w:rFonts w:hint="default" w:ascii="Times New Roman" w:hAnsi="Times New Roman" w:cs="Times New Roman" w:eastAsiaTheme="minorEastAsia"/>
          <w:color w:val="000000" w:themeColor="text1"/>
          <w:lang w:eastAsia="zh-CN"/>
          <w14:textFill>
            <w14:solidFill>
              <w14:schemeClr w14:val="tx1"/>
            </w14:solidFill>
          </w14:textFill>
        </w:rPr>
        <w:t>：</w:t>
      </w:r>
    </w:p>
    <w:p w14:paraId="36E0CB46">
      <w:pPr>
        <w:numPr>
          <w:ilvl w:val="0"/>
          <w:numId w:val="10"/>
        </w:numPr>
        <w:rPr>
          <w:rFonts w:ascii="Times New Roman" w:hAnsi="Times New Roman" w:cs="Times New Roman"/>
        </w:rPr>
      </w:pPr>
      <w:r>
        <w:rPr>
          <w:rFonts w:hint="eastAsia" w:ascii="Times New Roman" w:hAnsi="Times New Roman" w:cs="Times New Roman"/>
          <w:lang w:val="en-US" w:eastAsia="zh-CN"/>
        </w:rPr>
        <w:t>常规和非常规的监测活动；</w:t>
      </w:r>
    </w:p>
    <w:p w14:paraId="411C8060">
      <w:pPr>
        <w:numPr>
          <w:ilvl w:val="0"/>
          <w:numId w:val="10"/>
        </w:numPr>
        <w:rPr>
          <w:rFonts w:ascii="Times New Roman" w:hAnsi="Times New Roman" w:cs="Times New Roman"/>
        </w:rPr>
      </w:pPr>
      <w:r>
        <w:rPr>
          <w:rFonts w:hint="eastAsia" w:ascii="Times New Roman" w:hAnsi="Times New Roman" w:cs="Times New Roman"/>
          <w:lang w:val="en-US" w:eastAsia="zh-CN"/>
        </w:rPr>
        <w:t>正常工作时间和正常工作时间之外所进行的活动；</w:t>
      </w:r>
    </w:p>
    <w:p w14:paraId="3FA225DE">
      <w:pPr>
        <w:numPr>
          <w:ilvl w:val="0"/>
          <w:numId w:val="10"/>
        </w:numPr>
        <w:rPr>
          <w:rFonts w:ascii="Times New Roman" w:hAnsi="Times New Roman" w:cs="Times New Roman"/>
        </w:rPr>
      </w:pPr>
      <w:r>
        <w:rPr>
          <w:rFonts w:hint="eastAsia" w:ascii="Times New Roman" w:hAnsi="Times New Roman" w:cs="Times New Roman"/>
          <w:lang w:val="en-US" w:eastAsia="zh-CN"/>
        </w:rPr>
        <w:t>监测人员自身因素，包括技术能力、生理健康状况、心理健康状况等；</w:t>
      </w:r>
    </w:p>
    <w:p w14:paraId="5F253CE4">
      <w:pPr>
        <w:numPr>
          <w:ilvl w:val="0"/>
          <w:numId w:val="10"/>
        </w:numPr>
        <w:rPr>
          <w:rFonts w:ascii="Times New Roman" w:hAnsi="Times New Roman" w:cs="Times New Roman"/>
        </w:rPr>
      </w:pPr>
      <w:r>
        <w:rPr>
          <w:rFonts w:hint="eastAsia" w:ascii="Times New Roman" w:hAnsi="Times New Roman" w:cs="Times New Roman"/>
          <w:lang w:val="en-US" w:eastAsia="zh-CN"/>
        </w:rPr>
        <w:t>源自工作场所之外的活动，对环境监测人员的健康产生的不利影响；</w:t>
      </w:r>
    </w:p>
    <w:p w14:paraId="7613DD45">
      <w:pPr>
        <w:numPr>
          <w:ilvl w:val="0"/>
          <w:numId w:val="10"/>
        </w:numPr>
        <w:rPr>
          <w:rFonts w:ascii="Times New Roman" w:hAnsi="Times New Roman" w:cs="Times New Roman"/>
        </w:rPr>
      </w:pPr>
      <w:r>
        <w:rPr>
          <w:rFonts w:hint="eastAsia" w:ascii="Times New Roman" w:hAnsi="Times New Roman" w:cs="Times New Roman"/>
          <w:lang w:val="en-US" w:eastAsia="zh-CN"/>
        </w:rPr>
        <w:t>使用的设施和环境、仪器设备、物料和废弃物现状及可能发生的变化</w:t>
      </w:r>
      <w:r>
        <w:rPr>
          <w:rFonts w:hint="default" w:ascii="Times New Roman" w:hAnsi="Times New Roman" w:cs="Times New Roman"/>
        </w:rPr>
        <w:t>；</w:t>
      </w:r>
    </w:p>
    <w:p w14:paraId="05DBE71B">
      <w:pPr>
        <w:numPr>
          <w:ilvl w:val="0"/>
          <w:numId w:val="10"/>
        </w:numPr>
        <w:rPr>
          <w:rFonts w:ascii="Times New Roman" w:hAnsi="Times New Roman" w:cs="Times New Roman"/>
        </w:rPr>
      </w:pPr>
      <w:r>
        <w:rPr>
          <w:rFonts w:hint="eastAsia" w:ascii="Times New Roman" w:hAnsi="Times New Roman" w:cs="Times New Roman"/>
          <w:lang w:val="en-US" w:eastAsia="zh-CN"/>
        </w:rPr>
        <w:t>与</w:t>
      </w:r>
      <w:r>
        <w:rPr>
          <w:rFonts w:hint="default" w:ascii="Times New Roman" w:hAnsi="Times New Roman" w:cs="Times New Roman"/>
        </w:rPr>
        <w:t>风险评价</w:t>
      </w:r>
      <w:r>
        <w:rPr>
          <w:rFonts w:hint="eastAsia" w:ascii="Times New Roman" w:hAnsi="Times New Roman" w:cs="Times New Roman"/>
          <w:lang w:val="en-US" w:eastAsia="zh-CN"/>
        </w:rPr>
        <w:t>相关的法定要求</w:t>
      </w:r>
      <w:r>
        <w:rPr>
          <w:rFonts w:hint="default" w:ascii="Times New Roman" w:hAnsi="Times New Roman" w:cs="Times New Roman"/>
        </w:rPr>
        <w:t>；</w:t>
      </w:r>
    </w:p>
    <w:p w14:paraId="1F9DB6B4">
      <w:pPr>
        <w:numPr>
          <w:ilvl w:val="0"/>
          <w:numId w:val="10"/>
        </w:numPr>
        <w:spacing w:before="0" w:after="0"/>
        <w:ind w:left="782" w:hanging="363"/>
        <w:rPr>
          <w:rFonts w:asciiTheme="minorEastAsia" w:hAnsiTheme="minorEastAsia" w:eastAsiaTheme="minorEastAsia"/>
        </w:rPr>
      </w:pPr>
      <w:r>
        <w:rPr>
          <w:rFonts w:hint="eastAsia" w:ascii="Times New Roman" w:hAnsi="Times New Roman" w:cs="Times New Roman"/>
          <w:lang w:val="en-US" w:eastAsia="zh-CN"/>
        </w:rPr>
        <w:t>本机构或者相关机构已发生的安全事故</w:t>
      </w:r>
      <w:r>
        <w:rPr>
          <w:rFonts w:hint="default" w:ascii="Times New Roman" w:hAnsi="Times New Roman" w:cs="Times New Roman"/>
        </w:rPr>
        <w:t>。</w:t>
      </w:r>
    </w:p>
    <w:p w14:paraId="47BECBDD">
      <w:pPr>
        <w:pStyle w:val="45"/>
        <w:spacing w:before="120" w:after="120"/>
        <w:rPr>
          <w:rFonts w:hint="default" w:ascii="Times New Roman" w:hAnsi="Times New Roman" w:eastAsia="黑体" w:cs="Times New Roman"/>
        </w:rPr>
      </w:pPr>
      <w:r>
        <w:rPr>
          <w:rFonts w:hint="eastAsia" w:ascii="Times New Roman" w:cs="Times New Roman"/>
          <w:lang w:val="en-US" w:eastAsia="zh-CN"/>
        </w:rPr>
        <w:t>评价方法</w:t>
      </w:r>
    </w:p>
    <w:p w14:paraId="0D26A243">
      <w:pPr>
        <w:pStyle w:val="41"/>
        <w:rPr>
          <w:rFonts w:hint="eastAsia"/>
          <w:lang w:val="en-US" w:eastAsia="zh-CN"/>
        </w:rPr>
      </w:pPr>
      <w:r>
        <w:rPr>
          <w:rFonts w:hint="eastAsia"/>
          <w:lang w:val="en-US" w:eastAsia="zh-CN"/>
        </w:rPr>
        <w:t>可采用但不限于以下评价方法：</w:t>
      </w:r>
    </w:p>
    <w:p w14:paraId="5F66721D">
      <w:pPr>
        <w:ind w:firstLine="420" w:firstLineChars="200"/>
        <w:rPr>
          <w:rFonts w:hint="eastAsia" w:ascii="宋体" w:hAnsi="宋体" w:cs="宋体"/>
          <w:szCs w:val="21"/>
        </w:rPr>
      </w:pPr>
      <w:r>
        <w:rPr>
          <w:rFonts w:hint="default" w:ascii="Times New Roman" w:hAnsi="Times New Roman" w:cs="Times New Roman"/>
          <w:szCs w:val="21"/>
          <w:lang w:val="en-US" w:eastAsia="zh-CN"/>
        </w:rPr>
        <w:t>a）</w:t>
      </w:r>
      <w:r>
        <w:rPr>
          <w:rFonts w:hint="eastAsia" w:ascii="宋体" w:hAnsi="宋体" w:cs="宋体"/>
          <w:szCs w:val="21"/>
          <w:lang w:val="en-US" w:eastAsia="zh-CN"/>
        </w:rPr>
        <w:t>作业条件危险性分析法（LEC）</w:t>
      </w:r>
      <w:r>
        <w:rPr>
          <w:rFonts w:hint="eastAsia" w:ascii="宋体" w:hAnsi="宋体" w:cs="宋体"/>
          <w:szCs w:val="21"/>
        </w:rPr>
        <w:t xml:space="preserve">(参见附录 </w:t>
      </w:r>
      <w:r>
        <w:rPr>
          <w:rFonts w:hint="eastAsia" w:ascii="宋体" w:hAnsi="宋体" w:cs="宋体"/>
          <w:szCs w:val="21"/>
          <w:lang w:val="en-US" w:eastAsia="zh-CN"/>
        </w:rPr>
        <w:t>C</w:t>
      </w:r>
      <w:r>
        <w:rPr>
          <w:rFonts w:hint="eastAsia" w:ascii="宋体" w:hAnsi="宋体" w:cs="宋体"/>
          <w:szCs w:val="21"/>
        </w:rPr>
        <w:t>)；</w:t>
      </w:r>
    </w:p>
    <w:p w14:paraId="78EA96C6">
      <w:pPr>
        <w:ind w:firstLine="420" w:firstLineChars="200"/>
        <w:rPr>
          <w:rFonts w:hint="eastAsia" w:ascii="宋体" w:hAnsi="宋体" w:cs="宋体"/>
          <w:szCs w:val="21"/>
        </w:rPr>
      </w:pPr>
      <w:r>
        <w:rPr>
          <w:rFonts w:hint="eastAsia" w:ascii="Times New Roman" w:hAnsi="Times New Roman" w:cs="Times New Roman"/>
          <w:szCs w:val="21"/>
          <w:lang w:val="en-US" w:eastAsia="zh-CN"/>
        </w:rPr>
        <w:t>b）</w:t>
      </w:r>
      <w:r>
        <w:rPr>
          <w:rFonts w:hint="eastAsia" w:ascii="宋体" w:hAnsi="宋体" w:cs="宋体"/>
          <w:szCs w:val="21"/>
        </w:rPr>
        <w:t xml:space="preserve">风险矩阵分析法（LS）(参见附录 </w:t>
      </w:r>
      <w:r>
        <w:rPr>
          <w:rFonts w:hint="eastAsia" w:ascii="宋体" w:hAnsi="宋体" w:cs="宋体"/>
          <w:szCs w:val="21"/>
          <w:lang w:val="en-US" w:eastAsia="zh-CN"/>
        </w:rPr>
        <w:t>D</w:t>
      </w:r>
      <w:r>
        <w:rPr>
          <w:rFonts w:hint="eastAsia" w:ascii="宋体" w:hAnsi="宋体" w:cs="宋体"/>
          <w:szCs w:val="21"/>
        </w:rPr>
        <w:t>)；</w:t>
      </w:r>
    </w:p>
    <w:p w14:paraId="53325A1B">
      <w:pPr>
        <w:pStyle w:val="41"/>
        <w:rPr>
          <w:rFonts w:hint="default" w:eastAsia="宋体"/>
          <w:lang w:val="en-US" w:eastAsia="zh-CN"/>
        </w:rPr>
      </w:pPr>
      <w:r>
        <w:rPr>
          <w:rFonts w:hint="eastAsia" w:ascii="Times New Roman" w:hAnsi="Times New Roman" w:cs="Times New Roman" w:eastAsiaTheme="minorEastAsia"/>
          <w:kern w:val="2"/>
          <w:sz w:val="21"/>
          <w:szCs w:val="21"/>
          <w:lang w:val="en-US" w:eastAsia="zh-CN" w:bidi="ar-SA"/>
        </w:rPr>
        <w:t>c）</w:t>
      </w:r>
      <w:r>
        <w:rPr>
          <w:rFonts w:hint="eastAsia" w:ascii="宋体" w:hAnsi="宋体" w:cs="宋体"/>
          <w:szCs w:val="21"/>
        </w:rPr>
        <w:t xml:space="preserve">风险程度分析法（MES）(参见附录 </w:t>
      </w:r>
      <w:r>
        <w:rPr>
          <w:rFonts w:hint="eastAsia" w:hAnsi="宋体" w:cs="宋体"/>
          <w:szCs w:val="21"/>
          <w:lang w:val="en-US" w:eastAsia="zh-CN"/>
        </w:rPr>
        <w:t>E</w:t>
      </w:r>
      <w:r>
        <w:rPr>
          <w:rFonts w:hint="eastAsia" w:ascii="宋体" w:hAnsi="宋体" w:cs="宋体"/>
          <w:szCs w:val="21"/>
        </w:rPr>
        <w:t>)。</w:t>
      </w:r>
    </w:p>
    <w:p w14:paraId="68853CF4">
      <w:pPr>
        <w:pStyle w:val="45"/>
        <w:spacing w:before="120" w:after="120"/>
        <w:rPr>
          <w:rFonts w:hint="default" w:ascii="Times New Roman" w:hAnsi="Times New Roman" w:eastAsia="黑体" w:cs="Times New Roman"/>
        </w:rPr>
      </w:pPr>
      <w:r>
        <w:rPr>
          <w:rFonts w:hint="eastAsia" w:ascii="Times New Roman" w:cs="Times New Roman"/>
          <w:lang w:val="en-US" w:eastAsia="zh-CN"/>
        </w:rPr>
        <w:t>风险等级划分</w:t>
      </w:r>
    </w:p>
    <w:p w14:paraId="61F79775">
      <w:pPr>
        <w:pStyle w:val="41"/>
        <w:rPr>
          <w:rFonts w:hint="default" w:eastAsia="宋体"/>
          <w:lang w:val="en-US" w:eastAsia="zh-CN"/>
        </w:rPr>
      </w:pPr>
      <w:r>
        <w:rPr>
          <w:rFonts w:hint="eastAsia" w:ascii="宋体" w:hAnsi="宋体" w:cs="宋体"/>
          <w:szCs w:val="21"/>
        </w:rPr>
        <w:t>风险等级从高到低划分为</w:t>
      </w:r>
      <w:r>
        <w:rPr>
          <w:rFonts w:hint="eastAsia" w:hAnsi="宋体" w:cs="宋体"/>
          <w:szCs w:val="21"/>
          <w:lang w:val="en-US" w:eastAsia="zh-CN"/>
        </w:rPr>
        <w:t>1、2、3、4级，分别对应重大风险、较大风险、一般风险和低风险，并用红、橙、黄、蓝四种颜色标示。</w:t>
      </w:r>
    </w:p>
    <w:p w14:paraId="6199BE0D">
      <w:pPr>
        <w:pStyle w:val="45"/>
        <w:spacing w:before="120" w:after="120"/>
        <w:rPr>
          <w:rFonts w:hint="default" w:ascii="Times New Roman" w:hAnsi="Times New Roman" w:eastAsia="黑体" w:cs="Times New Roman"/>
        </w:rPr>
      </w:pPr>
      <w:r>
        <w:rPr>
          <w:rFonts w:hint="eastAsia" w:ascii="Times New Roman" w:cs="Times New Roman"/>
          <w:lang w:val="en-US" w:eastAsia="zh-CN"/>
        </w:rPr>
        <w:t>风险等级确定</w:t>
      </w:r>
    </w:p>
    <w:p w14:paraId="75A59FD8">
      <w:pPr>
        <w:pStyle w:val="41"/>
        <w:rPr>
          <w:rFonts w:hint="eastAsia" w:ascii="Times New Roman" w:cs="Times New Roman"/>
          <w:lang w:val="en-US" w:eastAsia="zh-CN"/>
        </w:rPr>
      </w:pPr>
      <w:r>
        <w:rPr>
          <w:rFonts w:hint="eastAsia" w:ascii="Times New Roman" w:cs="Times New Roman"/>
          <w:lang w:val="en-US" w:eastAsia="zh-CN"/>
        </w:rPr>
        <w:t>生态环境监测机构应根据选择的评价方法，结合实际情况，科学、客观的确定风险等级。确定风险等级应遵循从严从高的原则，应充分考虑生态环境监测活动有关安全法律、法规、规章，技术标准的强制性条款。</w:t>
      </w:r>
    </w:p>
    <w:p w14:paraId="36C95271">
      <w:pPr>
        <w:pStyle w:val="41"/>
        <w:rPr>
          <w:rFonts w:hint="eastAsia" w:ascii="Times New Roman" w:cs="Times New Roman"/>
          <w:lang w:val="en-US" w:eastAsia="zh-CN"/>
        </w:rPr>
      </w:pPr>
      <w:r>
        <w:rPr>
          <w:rFonts w:hint="eastAsia" w:ascii="Times New Roman" w:cs="Times New Roman"/>
          <w:lang w:val="en-US" w:eastAsia="zh-CN"/>
        </w:rPr>
        <w:t>有下列情形之一的，直接确定为重大风险：</w:t>
      </w:r>
    </w:p>
    <w:p w14:paraId="01022CF2">
      <w:pPr>
        <w:ind w:firstLine="420" w:firstLineChars="200"/>
        <w:rPr>
          <w:rFonts w:hint="eastAsia" w:ascii="宋体" w:hAnsi="宋体" w:cs="宋体"/>
          <w:szCs w:val="21"/>
        </w:rPr>
      </w:pPr>
      <w:r>
        <w:rPr>
          <w:rFonts w:hint="eastAsia" w:ascii="Times New Roman" w:hAnsi="Times New Roman" w:cs="Times New Roman"/>
          <w:szCs w:val="21"/>
          <w:lang w:val="en-US" w:eastAsia="zh-CN"/>
        </w:rPr>
        <w:t>a）</w:t>
      </w:r>
      <w:r>
        <w:rPr>
          <w:rFonts w:hint="eastAsia" w:ascii="宋体" w:hAnsi="宋体" w:cs="宋体"/>
          <w:szCs w:val="21"/>
        </w:rPr>
        <w:t>上一年度内发生过死亡事故，且现在发生事故的条件依然存在的；</w:t>
      </w:r>
    </w:p>
    <w:p w14:paraId="0A0AA6DD">
      <w:pPr>
        <w:ind w:firstLine="420" w:firstLineChars="200"/>
        <w:rPr>
          <w:rFonts w:hint="eastAsia" w:ascii="宋体" w:hAnsi="宋体" w:cs="宋体"/>
          <w:szCs w:val="21"/>
        </w:rPr>
      </w:pPr>
      <w:r>
        <w:rPr>
          <w:rFonts w:hint="eastAsia" w:ascii="Times New Roman" w:hAnsi="Times New Roman" w:cs="Times New Roman"/>
          <w:szCs w:val="21"/>
          <w:lang w:val="en-US" w:eastAsia="zh-CN"/>
        </w:rPr>
        <w:t>b）</w:t>
      </w:r>
      <w:r>
        <w:rPr>
          <w:rFonts w:hint="eastAsia" w:ascii="宋体" w:hAnsi="宋体" w:cs="宋体"/>
          <w:szCs w:val="21"/>
        </w:rPr>
        <w:t>违反国家有关法律、法规、规章、标准及其他要求中强制性条款的；</w:t>
      </w:r>
    </w:p>
    <w:p w14:paraId="40473970">
      <w:pPr>
        <w:ind w:firstLine="420" w:firstLineChars="200"/>
        <w:rPr>
          <w:rFonts w:hint="eastAsia" w:ascii="宋体" w:hAnsi="宋体" w:cs="宋体"/>
          <w:szCs w:val="21"/>
        </w:rPr>
      </w:pPr>
      <w:r>
        <w:rPr>
          <w:rFonts w:hint="eastAsia" w:ascii="Times New Roman" w:hAnsi="Times New Roman" w:cs="Times New Roman"/>
          <w:szCs w:val="21"/>
          <w:lang w:val="en-US" w:eastAsia="zh-CN"/>
        </w:rPr>
        <w:t>c）</w:t>
      </w:r>
      <w:r>
        <w:rPr>
          <w:rFonts w:hint="eastAsia" w:ascii="宋体" w:hAnsi="宋体" w:cs="宋体"/>
          <w:szCs w:val="21"/>
        </w:rPr>
        <w:t>涉及重大危险源的；</w:t>
      </w:r>
    </w:p>
    <w:p w14:paraId="1848C3AE">
      <w:pPr>
        <w:ind w:firstLine="420" w:firstLineChars="200"/>
        <w:rPr>
          <w:rFonts w:hint="default" w:ascii="Times New Roman" w:cs="Times New Roman"/>
          <w:lang w:val="en-US" w:eastAsia="zh-CN"/>
        </w:rPr>
      </w:pPr>
      <w:r>
        <w:rPr>
          <w:rFonts w:hint="eastAsia" w:ascii="Times New Roman" w:hAnsi="Times New Roman" w:cs="Times New Roman"/>
          <w:szCs w:val="21"/>
          <w:lang w:val="en-US" w:eastAsia="zh-CN"/>
        </w:rPr>
        <w:t>d）</w:t>
      </w:r>
      <w:r>
        <w:rPr>
          <w:rFonts w:hint="eastAsia" w:ascii="宋体" w:hAnsi="宋体" w:cs="宋体"/>
          <w:szCs w:val="21"/>
        </w:rPr>
        <w:t>经风险评价确定为最高级别的风险的。</w:t>
      </w:r>
    </w:p>
    <w:p w14:paraId="35DB764A">
      <w:pPr>
        <w:pStyle w:val="45"/>
        <w:spacing w:before="120" w:after="120"/>
        <w:rPr>
          <w:rFonts w:hint="default" w:ascii="Times New Roman" w:hAnsi="Times New Roman" w:eastAsia="黑体" w:cs="Times New Roman"/>
        </w:rPr>
      </w:pPr>
      <w:r>
        <w:rPr>
          <w:rFonts w:hint="eastAsia" w:ascii="Times New Roman" w:cs="Times New Roman"/>
          <w:lang w:val="en-US" w:eastAsia="zh-CN"/>
        </w:rPr>
        <w:t>更新评价</w:t>
      </w:r>
    </w:p>
    <w:p w14:paraId="34280E8B">
      <w:pPr>
        <w:numPr>
          <w:ilvl w:val="-1"/>
          <w:numId w:val="0"/>
        </w:numPr>
        <w:spacing w:before="0" w:after="0"/>
        <w:ind w:left="0" w:firstLine="420"/>
        <w:rPr>
          <w:rFonts w:hint="eastAsia" w:ascii="Times New Roman" w:hAnsi="Times New Roman" w:cs="Times New Roman"/>
          <w:lang w:val="en-US" w:eastAsia="zh-CN"/>
        </w:rPr>
      </w:pPr>
      <w:r>
        <w:rPr>
          <w:rFonts w:hint="eastAsia" w:ascii="Times New Roman" w:hAnsi="Times New Roman" w:cs="Times New Roman"/>
          <w:lang w:val="en-US" w:eastAsia="zh-CN"/>
        </w:rPr>
        <w:t>当发生以下情况时，应重新进行风险评价：</w:t>
      </w:r>
    </w:p>
    <w:p w14:paraId="17E99B8E">
      <w:pPr>
        <w:numPr>
          <w:ilvl w:val="0"/>
          <w:numId w:val="11"/>
        </w:numPr>
        <w:rPr>
          <w:rFonts w:ascii="Times New Roman" w:hAnsi="Times New Roman" w:cs="Times New Roman"/>
        </w:rPr>
      </w:pPr>
      <w:r>
        <w:rPr>
          <w:rFonts w:hint="eastAsia" w:ascii="Times New Roman" w:hAnsi="Times New Roman" w:cs="Times New Roman"/>
          <w:lang w:val="en-US" w:eastAsia="zh-CN"/>
        </w:rPr>
        <w:t>采用新的设备、材料或方法，环境、人员发生变化或场所环境结构功能发生改变时；</w:t>
      </w:r>
    </w:p>
    <w:p w14:paraId="5CC30AC5">
      <w:pPr>
        <w:numPr>
          <w:ilvl w:val="0"/>
          <w:numId w:val="11"/>
        </w:numPr>
        <w:rPr>
          <w:rFonts w:ascii="Times New Roman" w:hAnsi="Times New Roman" w:cs="Times New Roman"/>
        </w:rPr>
      </w:pPr>
      <w:r>
        <w:rPr>
          <w:rFonts w:hint="eastAsia" w:ascii="Times New Roman" w:hAnsi="Times New Roman" w:cs="Times New Roman"/>
          <w:lang w:val="en-US" w:eastAsia="zh-CN"/>
        </w:rPr>
        <w:t>发生安全事故或事件后；</w:t>
      </w:r>
    </w:p>
    <w:p w14:paraId="3B6B543A">
      <w:pPr>
        <w:numPr>
          <w:ilvl w:val="0"/>
          <w:numId w:val="11"/>
        </w:numPr>
        <w:rPr>
          <w:rFonts w:ascii="Times New Roman" w:hAnsi="Times New Roman" w:cs="Times New Roman"/>
        </w:rPr>
      </w:pPr>
      <w:r>
        <w:rPr>
          <w:rFonts w:hint="eastAsia" w:ascii="Times New Roman" w:hAnsi="Times New Roman" w:cs="Times New Roman"/>
          <w:lang w:val="en-US" w:eastAsia="zh-CN"/>
        </w:rPr>
        <w:t>适用的法律法规和标准发生改变</w:t>
      </w:r>
      <w:r>
        <w:rPr>
          <w:rFonts w:hint="default" w:ascii="Times New Roman" w:hAnsi="Times New Roman" w:cs="Times New Roman"/>
        </w:rPr>
        <w:t>；</w:t>
      </w:r>
    </w:p>
    <w:p w14:paraId="3C4A2A06">
      <w:pPr>
        <w:pStyle w:val="44"/>
        <w:spacing w:before="144" w:beforeLines="50" w:after="144" w:afterLines="50"/>
        <w:outlineLvl w:val="0"/>
        <w:rPr>
          <w:rFonts w:hAnsi="黑体" w:cs="黑体"/>
          <w:szCs w:val="21"/>
        </w:rPr>
      </w:pPr>
      <w:bookmarkStart w:id="156" w:name="_Toc21708"/>
      <w:bookmarkStart w:id="157" w:name="_Toc19314"/>
      <w:bookmarkStart w:id="158" w:name="_Toc26123"/>
      <w:bookmarkStart w:id="159" w:name="_Toc11351"/>
      <w:bookmarkStart w:id="160" w:name="_Toc26240"/>
      <w:bookmarkStart w:id="161" w:name="_Toc21185"/>
      <w:bookmarkStart w:id="162" w:name="_Toc84"/>
      <w:bookmarkStart w:id="163" w:name="_Toc18160"/>
      <w:r>
        <w:rPr>
          <w:rFonts w:hint="eastAsia" w:hAnsi="黑体" w:cs="黑体"/>
          <w:szCs w:val="21"/>
          <w:highlight w:val="none"/>
          <w:lang w:val="en-US" w:eastAsia="zh-CN"/>
        </w:rPr>
        <w:t>控制措施</w:t>
      </w:r>
      <w:bookmarkEnd w:id="156"/>
      <w:bookmarkEnd w:id="157"/>
      <w:bookmarkEnd w:id="158"/>
      <w:bookmarkEnd w:id="159"/>
      <w:bookmarkEnd w:id="160"/>
      <w:bookmarkEnd w:id="161"/>
      <w:bookmarkEnd w:id="162"/>
      <w:bookmarkEnd w:id="163"/>
    </w:p>
    <w:p w14:paraId="6E4B97B2">
      <w:pPr>
        <w:pStyle w:val="45"/>
        <w:spacing w:before="120" w:after="120"/>
        <w:rPr>
          <w:rFonts w:hint="default"/>
          <w:lang w:val="en-US"/>
        </w:rPr>
      </w:pPr>
      <w:r>
        <w:rPr>
          <w:rFonts w:hint="eastAsia" w:ascii="Times New Roman" w:hAnsi="Times New Roman" w:cs="Times New Roman" w:eastAsiaTheme="minorEastAsia"/>
          <w:kern w:val="2"/>
          <w:szCs w:val="24"/>
          <w:lang w:val="en-US" w:eastAsia="zh-CN"/>
        </w:rPr>
        <w:t>对安全风险进行全方位的管理、控制、执行和监督，确保所有可能的风险因素都被纳入考虑，并得到有效的管控，管控措施与生态环境监测业务范围相匹配，根据实际情况进行不定期调整和优化。</w:t>
      </w:r>
    </w:p>
    <w:p w14:paraId="0C728F99">
      <w:pPr>
        <w:pStyle w:val="45"/>
        <w:spacing w:before="120" w:after="120"/>
        <w:rPr>
          <w:rFonts w:hint="eastAsia" w:hAnsi="黑体" w:cs="黑体"/>
          <w:bCs/>
          <w:lang w:val="en-US" w:eastAsia="zh-CN"/>
        </w:rPr>
      </w:pPr>
      <w:r>
        <w:rPr>
          <w:rFonts w:hint="eastAsia" w:ascii="Times New Roman" w:hAnsi="Times New Roman" w:cs="Times New Roman" w:eastAsiaTheme="minorEastAsia"/>
          <w:bCs w:val="0"/>
          <w:kern w:val="2"/>
          <w:szCs w:val="24"/>
          <w:lang w:val="en-US" w:eastAsia="zh-CN"/>
        </w:rPr>
        <w:t>在控制风险时，宜按照有效性顺序选择可获得的最有效的控制措施。控制的顺序如下：</w:t>
      </w:r>
    </w:p>
    <w:p w14:paraId="4745A908">
      <w:pPr>
        <w:pStyle w:val="41"/>
        <w:numPr>
          <w:ilvl w:val="0"/>
          <w:numId w:val="12"/>
        </w:numPr>
        <w:rPr>
          <w:rFonts w:hint="eastAsia" w:hAnsi="黑体" w:cs="黑体"/>
          <w:bCs/>
          <w:lang w:val="en-US" w:eastAsia="zh-CN"/>
        </w:rPr>
      </w:pPr>
      <w:r>
        <w:rPr>
          <w:rFonts w:hint="eastAsia" w:hAnsi="黑体" w:cs="黑体"/>
          <w:bCs/>
          <w:lang w:val="en-US" w:eastAsia="zh-CN"/>
        </w:rPr>
        <w:t>重大风险：消除来自监测活动中的危险源，采用替代物或替代方法来减少风险；</w:t>
      </w:r>
    </w:p>
    <w:p w14:paraId="73F151A2">
      <w:pPr>
        <w:pStyle w:val="41"/>
        <w:numPr>
          <w:ilvl w:val="0"/>
          <w:numId w:val="12"/>
        </w:numPr>
        <w:rPr>
          <w:rFonts w:hint="eastAsia" w:hAnsi="黑体" w:cs="黑体"/>
          <w:bCs/>
          <w:lang w:val="en-US" w:eastAsia="zh-CN"/>
        </w:rPr>
      </w:pPr>
      <w:r>
        <w:rPr>
          <w:rFonts w:hint="eastAsia" w:hAnsi="黑体" w:cs="黑体"/>
          <w:bCs/>
          <w:lang w:val="en-US" w:eastAsia="zh-CN"/>
        </w:rPr>
        <w:t>较大风险：隔离危险源来控制风险，采取控制、抑制措施，减少接触；</w:t>
      </w:r>
    </w:p>
    <w:p w14:paraId="293DEC15">
      <w:pPr>
        <w:pStyle w:val="41"/>
        <w:numPr>
          <w:ilvl w:val="0"/>
          <w:numId w:val="12"/>
        </w:numPr>
        <w:rPr>
          <w:rFonts w:hint="eastAsia" w:hAnsi="黑体" w:cs="黑体"/>
          <w:bCs/>
          <w:lang w:val="en-US" w:eastAsia="zh-CN"/>
        </w:rPr>
      </w:pPr>
      <w:r>
        <w:rPr>
          <w:rFonts w:hint="eastAsia" w:hAnsi="黑体" w:cs="黑体"/>
          <w:bCs/>
          <w:lang w:val="en-US" w:eastAsia="zh-CN"/>
        </w:rPr>
        <w:t>一般风险：采用安全工作行为最小化接触，包括改变工作方法；</w:t>
      </w:r>
    </w:p>
    <w:p w14:paraId="5D98035A">
      <w:pPr>
        <w:pStyle w:val="41"/>
        <w:numPr>
          <w:ilvl w:val="0"/>
          <w:numId w:val="12"/>
        </w:numPr>
        <w:rPr>
          <w:rFonts w:hint="eastAsia" w:hAnsi="黑体" w:cs="黑体"/>
          <w:bCs/>
          <w:lang w:val="en-US" w:eastAsia="zh-CN"/>
        </w:rPr>
      </w:pPr>
      <w:r>
        <w:rPr>
          <w:rFonts w:hint="eastAsia" w:hAnsi="黑体" w:cs="黑体"/>
          <w:bCs/>
          <w:lang w:val="en-US" w:eastAsia="zh-CN"/>
        </w:rPr>
        <w:t>低风险：采取个体防护措施，如为监测人员配备个人防护装备。</w:t>
      </w:r>
    </w:p>
    <w:p w14:paraId="5F2607D6">
      <w:pPr>
        <w:pStyle w:val="44"/>
        <w:spacing w:before="240" w:after="240"/>
        <w:outlineLvl w:val="0"/>
        <w:rPr>
          <w:rFonts w:hint="default" w:ascii="Times New Roman" w:hAnsi="Times New Roman" w:eastAsia="黑体" w:cs="Times New Roman"/>
          <w:szCs w:val="21"/>
          <w:lang w:val="en-US" w:eastAsia="zh-CN"/>
        </w:rPr>
      </w:pPr>
      <w:bookmarkStart w:id="164" w:name="_Toc28722"/>
      <w:bookmarkStart w:id="165" w:name="_Toc20786"/>
      <w:bookmarkStart w:id="166" w:name="_Toc27152"/>
      <w:bookmarkStart w:id="167" w:name="_Toc18016"/>
      <w:bookmarkStart w:id="168" w:name="_Toc28064"/>
      <w:bookmarkStart w:id="169" w:name="_Toc3116"/>
      <w:bookmarkStart w:id="170" w:name="_Toc5443"/>
      <w:bookmarkStart w:id="171" w:name="_Toc21161"/>
      <w:bookmarkStart w:id="172" w:name="_Toc6818"/>
      <w:r>
        <w:rPr>
          <w:rFonts w:hint="default" w:ascii="Times New Roman" w:hAnsi="Times New Roman" w:cs="Times New Roman"/>
          <w:color w:val="auto"/>
          <w:szCs w:val="21"/>
          <w:lang w:val="en-US" w:eastAsia="zh-CN"/>
        </w:rPr>
        <w:t>报告与记录</w:t>
      </w:r>
      <w:bookmarkEnd w:id="164"/>
      <w:bookmarkEnd w:id="165"/>
      <w:bookmarkEnd w:id="166"/>
      <w:bookmarkEnd w:id="167"/>
      <w:bookmarkEnd w:id="168"/>
      <w:bookmarkEnd w:id="169"/>
      <w:bookmarkEnd w:id="170"/>
      <w:bookmarkEnd w:id="171"/>
      <w:r>
        <w:rPr>
          <w:rFonts w:hint="default" w:ascii="Times New Roman" w:hAnsi="Times New Roman" w:cs="Times New Roman"/>
          <w:szCs w:val="21"/>
          <w:lang w:val="en-US" w:eastAsia="zh-CN"/>
        </w:rPr>
        <w:t xml:space="preserve"> </w:t>
      </w:r>
      <w:bookmarkEnd w:id="172"/>
    </w:p>
    <w:p w14:paraId="345A159E">
      <w:pPr>
        <w:pStyle w:val="41"/>
        <w:ind w:left="0" w:leftChars="0" w:firstLine="0" w:firstLineChars="0"/>
        <w:rPr>
          <w:rFonts w:hint="default" w:ascii="Times New Roman"/>
          <w:lang w:val="en-US" w:eastAsia="zh-CN"/>
        </w:rPr>
      </w:pPr>
      <w:r>
        <w:rPr>
          <w:rFonts w:hint="eastAsia" w:ascii="Times New Roman" w:hAnsi="Times New Roman" w:cs="Times New Roman" w:eastAsiaTheme="minorEastAsia"/>
          <w:bCs w:val="0"/>
          <w:kern w:val="2"/>
          <w:sz w:val="21"/>
          <w:szCs w:val="24"/>
          <w:lang w:val="en-US" w:eastAsia="zh-CN" w:bidi="ar-SA"/>
        </w:rPr>
        <w:t>12.1</w:t>
      </w:r>
      <w:r>
        <w:rPr>
          <w:rFonts w:hint="eastAsia" w:ascii="Times New Roman" w:cs="Times New Roman" w:eastAsiaTheme="minorEastAsia"/>
          <w:bCs w:val="0"/>
          <w:kern w:val="2"/>
          <w:sz w:val="21"/>
          <w:szCs w:val="24"/>
          <w:lang w:val="en-US" w:eastAsia="zh-CN" w:bidi="ar-SA"/>
        </w:rPr>
        <w:t xml:space="preserve"> </w:t>
      </w:r>
      <w:r>
        <w:rPr>
          <w:rFonts w:hint="default" w:ascii="Times New Roman"/>
          <w:lang w:val="en-US" w:eastAsia="zh-CN"/>
        </w:rPr>
        <w:t>生态环境监测机构应完整保存</w:t>
      </w:r>
      <w:r>
        <w:rPr>
          <w:rFonts w:hint="eastAsia" w:ascii="Times New Roman"/>
          <w:lang w:val="en-US" w:eastAsia="zh-CN"/>
        </w:rPr>
        <w:t>安全管理</w:t>
      </w:r>
      <w:r>
        <w:rPr>
          <w:rFonts w:hint="default" w:ascii="Times New Roman"/>
          <w:lang w:val="en-US" w:eastAsia="zh-CN"/>
        </w:rPr>
        <w:t>工作的记录资料，并分类建档管理。至少应包括：</w:t>
      </w:r>
    </w:p>
    <w:p w14:paraId="7F37D7F0">
      <w:pPr>
        <w:pStyle w:val="41"/>
        <w:numPr>
          <w:ilvl w:val="0"/>
          <w:numId w:val="13"/>
        </w:numPr>
        <w:ind w:firstLine="420" w:firstLineChars="200"/>
        <w:rPr>
          <w:rFonts w:hint="default" w:ascii="Times New Roman"/>
          <w:lang w:val="en-US" w:eastAsia="zh-CN"/>
        </w:rPr>
      </w:pPr>
      <w:r>
        <w:rPr>
          <w:rFonts w:hint="default" w:ascii="Times New Roman"/>
          <w:lang w:val="en-US" w:eastAsia="zh-CN"/>
        </w:rPr>
        <w:t>成立安全组织管理机构文件、安全</w:t>
      </w:r>
      <w:r>
        <w:rPr>
          <w:rFonts w:hint="eastAsia" w:ascii="Times New Roman"/>
          <w:lang w:val="en-US" w:eastAsia="zh-CN"/>
        </w:rPr>
        <w:t>管理</w:t>
      </w:r>
      <w:r>
        <w:rPr>
          <w:rFonts w:hint="default" w:ascii="Times New Roman"/>
          <w:lang w:val="en-US" w:eastAsia="zh-CN"/>
        </w:rPr>
        <w:t>体系文件等；</w:t>
      </w:r>
    </w:p>
    <w:p w14:paraId="2DFC5EAB">
      <w:pPr>
        <w:pStyle w:val="41"/>
        <w:numPr>
          <w:ilvl w:val="0"/>
          <w:numId w:val="13"/>
        </w:numPr>
        <w:ind w:firstLine="420" w:firstLineChars="200"/>
        <w:rPr>
          <w:rFonts w:hint="default" w:ascii="Times New Roman"/>
          <w:lang w:val="en-US" w:eastAsia="zh-CN"/>
        </w:rPr>
      </w:pPr>
      <w:r>
        <w:rPr>
          <w:rFonts w:hint="default" w:ascii="Times New Roman"/>
          <w:lang w:val="en-US" w:eastAsia="zh-CN"/>
        </w:rPr>
        <w:t>设备设施风险管控清单、</w:t>
      </w:r>
      <w:r>
        <w:rPr>
          <w:rFonts w:hint="eastAsia" w:ascii="Times New Roman"/>
          <w:lang w:val="en-US" w:eastAsia="zh-CN"/>
        </w:rPr>
        <w:t>危险化学品风险管控清单、</w:t>
      </w:r>
      <w:r>
        <w:rPr>
          <w:rFonts w:hint="default" w:ascii="Times New Roman"/>
          <w:lang w:val="en-US" w:eastAsia="zh-CN"/>
        </w:rPr>
        <w:t>现场监测风险管控清单、实验室风险管控清单</w:t>
      </w:r>
      <w:r>
        <w:rPr>
          <w:rFonts w:hint="eastAsia" w:ascii="Times New Roman"/>
          <w:lang w:val="en-US" w:eastAsia="zh-CN"/>
        </w:rPr>
        <w:t>、自动监测风险管控清单、应急监测风险管控清单、辐射监测风险管控清单</w:t>
      </w:r>
      <w:r>
        <w:rPr>
          <w:rFonts w:hint="default" w:ascii="Times New Roman"/>
          <w:lang w:val="en-US" w:eastAsia="zh-CN"/>
        </w:rPr>
        <w:t>；</w:t>
      </w:r>
    </w:p>
    <w:p w14:paraId="56F460A4">
      <w:pPr>
        <w:pStyle w:val="41"/>
        <w:ind w:firstLine="420" w:firstLineChars="200"/>
        <w:rPr>
          <w:rFonts w:hint="default" w:ascii="Times New Roman"/>
          <w:lang w:val="en-US" w:eastAsia="zh-CN"/>
        </w:rPr>
      </w:pPr>
      <w:r>
        <w:rPr>
          <w:rFonts w:hint="default" w:ascii="Times New Roman"/>
          <w:lang w:val="en-US" w:eastAsia="zh-CN"/>
        </w:rPr>
        <w:t>c）各层级风险管控排查表，隐患治理台账，重大隐患治理方案等；</w:t>
      </w:r>
    </w:p>
    <w:p w14:paraId="72B3F42A">
      <w:pPr>
        <w:pStyle w:val="41"/>
        <w:ind w:firstLine="420" w:firstLineChars="200"/>
        <w:rPr>
          <w:rFonts w:hint="default" w:ascii="Times New Roman"/>
          <w:lang w:val="en-US" w:eastAsia="zh-CN"/>
        </w:rPr>
      </w:pPr>
      <w:r>
        <w:rPr>
          <w:rFonts w:hint="default" w:ascii="Times New Roman"/>
          <w:lang w:val="en-US" w:eastAsia="zh-CN"/>
        </w:rPr>
        <w:t>d）安全风险评估记录等；</w:t>
      </w:r>
    </w:p>
    <w:p w14:paraId="667443BF">
      <w:pPr>
        <w:pStyle w:val="41"/>
        <w:ind w:firstLine="420" w:firstLineChars="200"/>
        <w:rPr>
          <w:rFonts w:hint="default" w:ascii="Times New Roman"/>
          <w:lang w:val="en-US" w:eastAsia="zh-CN"/>
        </w:rPr>
      </w:pPr>
      <w:r>
        <w:rPr>
          <w:rFonts w:hint="default" w:ascii="Times New Roman"/>
          <w:lang w:val="en-US" w:eastAsia="zh-CN"/>
        </w:rPr>
        <w:t>e）全员安全教育培训相关记录及安全培训上岗证明。</w:t>
      </w:r>
    </w:p>
    <w:p w14:paraId="37881620">
      <w:pPr>
        <w:pStyle w:val="41"/>
        <w:keepNext w:val="0"/>
        <w:keepLines w:val="0"/>
        <w:widowControl/>
        <w:suppressLineNumbers w:val="0"/>
        <w:ind w:firstLine="420" w:firstLineChars="200"/>
        <w:jc w:val="left"/>
        <w:rPr>
          <w:rFonts w:hint="default" w:ascii="Times New Roman" w:hAnsi="Times New Roman" w:cs="Times New Roman"/>
          <w:sz w:val="21"/>
          <w:szCs w:val="20"/>
          <w:lang w:val="en-US" w:eastAsia="zh-CN"/>
        </w:rPr>
      </w:pPr>
      <w:r>
        <w:rPr>
          <w:rFonts w:hint="eastAsia" w:ascii="Times New Roman" w:cs="Times New Roman"/>
          <w:sz w:val="21"/>
          <w:szCs w:val="20"/>
          <w:lang w:val="en-US" w:eastAsia="zh-CN"/>
        </w:rPr>
        <w:t xml:space="preserve">12.2 </w:t>
      </w:r>
      <w:r>
        <w:rPr>
          <w:rFonts w:hint="default" w:ascii="Times New Roman" w:hAnsi="Times New Roman" w:cs="Times New Roman"/>
          <w:sz w:val="21"/>
          <w:szCs w:val="20"/>
          <w:lang w:val="en-US" w:eastAsia="zh-CN"/>
        </w:rPr>
        <w:t>记录应至少保存</w:t>
      </w:r>
      <w:r>
        <w:rPr>
          <w:rFonts w:hint="eastAsia" w:ascii="Times New Roman" w:cs="Times New Roman"/>
          <w:sz w:val="21"/>
          <w:szCs w:val="20"/>
          <w:lang w:val="en-US" w:eastAsia="zh-CN"/>
        </w:rPr>
        <w:t>6</w:t>
      </w:r>
      <w:r>
        <w:rPr>
          <w:rFonts w:hint="default" w:ascii="Times New Roman" w:hAnsi="Times New Roman" w:cs="Times New Roman"/>
          <w:sz w:val="21"/>
          <w:szCs w:val="20"/>
          <w:lang w:val="en-US" w:eastAsia="zh-CN"/>
        </w:rPr>
        <w:t>年，法律法规另有规定的从其规定。</w:t>
      </w:r>
    </w:p>
    <w:p w14:paraId="4B1366BD">
      <w:pPr>
        <w:pStyle w:val="44"/>
        <w:spacing w:before="240" w:after="240"/>
        <w:outlineLvl w:val="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标准实施及评价</w:t>
      </w:r>
    </w:p>
    <w:p w14:paraId="4359FBC1">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13.1 结合实际，认真做好标准实施准备，包括标准实施的方案准备、组织准备、知识准备、手段准备和物质条件准备等。</w:t>
      </w:r>
    </w:p>
    <w:p w14:paraId="7A53F227">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13.2 制订标准实施方案、明确适用对象和场景、提供实施必备条件和保障（组织、制度、资金、人员和设备仪器等）、推荐方法路径，确定资源要素配置、关键环节和控制点，提出标准实施中的注意事项。</w:t>
      </w:r>
    </w:p>
    <w:p w14:paraId="5D047F12">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13.3 针对重大决策社会稳定风险评估的单位和执行人员进行标准宣贯和培训，结合标准要求，落实责任制，做到横向到边，纵向到底。</w:t>
      </w:r>
    </w:p>
    <w:p w14:paraId="19858489">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13.4 标准实施主要在服务管理活动中开展。</w:t>
      </w:r>
    </w:p>
    <w:p w14:paraId="17171674">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13.5 标准实施的检查主要是检查标准实施方案的落实情况，需要逐条检查标准实施内容的落实，并记录未实施内容的理由或原因。标准实施检查也要检查标准实施的支持手段和物质条件的落实情况。做好标准实施验证记录，畅通标准实施信息采集的方式方法和反馈渠道，定期整理并处理收集到的意见建议。</w:t>
      </w:r>
    </w:p>
    <w:p w14:paraId="46B4360C">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13.6 对标准实施评价的基本依据是《中华人民共和国标准化法》等。</w:t>
      </w:r>
    </w:p>
    <w:p w14:paraId="03491B2E">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13.7 在标准实施一定时间后，对照标准实施方案，开展标准实施效果评价分析，总结实施经验成效，梳理存在的薄弱环节，标准实施的评价主要评价标准实施的效果，主要从技术进步、质量水平提高、客户满意度、规范秩序、效率提高、节约费用、节省时间、履行社会责任等方面进行有益性评价，同时还要评价标准实施带来的问题，以便为未来改进提供参考。</w:t>
      </w:r>
    </w:p>
    <w:p w14:paraId="0E906714">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13.8 适时向专业标准化技术委员会和标准归口管理单位反馈情况，提出标准推广、修改、补充、完善或者废止等意见建议。</w:t>
      </w:r>
    </w:p>
    <w:p w14:paraId="3C7BA800">
      <w:pPr>
        <w:pStyle w:val="41"/>
        <w:keepNext w:val="0"/>
        <w:keepLines w:val="0"/>
        <w:widowControl/>
        <w:suppressLineNumbers w:val="0"/>
        <w:ind w:left="0" w:leftChars="0" w:firstLine="0" w:firstLineChars="0"/>
        <w:jc w:val="left"/>
        <w:rPr>
          <w:rFonts w:hint="default" w:ascii="Times New Roman" w:hAnsi="Times New Roman" w:cs="Times New Roman"/>
          <w:sz w:val="21"/>
          <w:szCs w:val="20"/>
          <w:lang w:val="en-US" w:eastAsia="zh-CN"/>
        </w:rPr>
      </w:pPr>
      <w:r>
        <w:rPr>
          <w:rFonts w:hint="default" w:ascii="Times New Roman" w:hAnsi="Times New Roman" w:cs="Times New Roman"/>
          <w:sz w:val="21"/>
          <w:szCs w:val="20"/>
          <w:lang w:val="en-US" w:eastAsia="zh-CN"/>
        </w:rPr>
        <w:t>13.9 标准实施信息及意见反馈表相关示例见</w:t>
      </w:r>
      <w:r>
        <w:rPr>
          <w:rFonts w:hint="default" w:ascii="Times New Roman" w:hAnsi="Times New Roman" w:cs="Times New Roman"/>
          <w:sz w:val="21"/>
          <w:szCs w:val="20"/>
          <w:highlight w:val="none"/>
          <w:lang w:val="en-US" w:eastAsia="zh-CN"/>
        </w:rPr>
        <w:t>附录</w:t>
      </w:r>
      <w:r>
        <w:rPr>
          <w:rFonts w:hint="eastAsia" w:ascii="Times New Roman" w:cs="Times New Roman"/>
          <w:sz w:val="21"/>
          <w:szCs w:val="20"/>
          <w:highlight w:val="none"/>
          <w:lang w:val="en-US" w:eastAsia="zh-CN"/>
        </w:rPr>
        <w:t>F</w:t>
      </w:r>
      <w:r>
        <w:rPr>
          <w:rFonts w:hint="default" w:ascii="Times New Roman" w:hAnsi="Times New Roman" w:cs="Times New Roman"/>
          <w:sz w:val="21"/>
          <w:szCs w:val="20"/>
          <w:lang w:val="en-US" w:eastAsia="zh-CN"/>
        </w:rPr>
        <w:t>。</w:t>
      </w:r>
    </w:p>
    <w:p w14:paraId="2C857CC9">
      <w:pPr>
        <w:pStyle w:val="41"/>
        <w:keepNext w:val="0"/>
        <w:keepLines w:val="0"/>
        <w:widowControl/>
        <w:suppressLineNumbers w:val="0"/>
        <w:ind w:firstLine="420" w:firstLineChars="200"/>
        <w:jc w:val="left"/>
        <w:rPr>
          <w:rFonts w:hint="default" w:ascii="Times New Roman" w:hAnsi="Times New Roman" w:cs="Times New Roman"/>
          <w:sz w:val="21"/>
          <w:szCs w:val="20"/>
          <w:lang w:val="en-US" w:eastAsia="zh-CN"/>
        </w:rPr>
      </w:pPr>
    </w:p>
    <w:p w14:paraId="7E659564">
      <w:pPr>
        <w:keepNext w:val="0"/>
        <w:keepLines w:val="0"/>
        <w:widowControl/>
        <w:suppressLineNumbers w:val="0"/>
        <w:jc w:val="center"/>
        <w:rPr>
          <w:rFonts w:ascii="黑体" w:hAnsi="宋体" w:eastAsia="黑体" w:cs="黑体"/>
          <w:color w:val="000000"/>
          <w:kern w:val="0"/>
          <w:sz w:val="21"/>
          <w:szCs w:val="21"/>
          <w:lang w:val="en-US" w:eastAsia="zh-CN" w:bidi="ar"/>
        </w:rPr>
      </w:pPr>
    </w:p>
    <w:p w14:paraId="446255E3">
      <w:pPr>
        <w:keepNext w:val="0"/>
        <w:keepLines w:val="0"/>
        <w:widowControl/>
        <w:suppressLineNumbers w:val="0"/>
        <w:jc w:val="center"/>
        <w:rPr>
          <w:rFonts w:ascii="黑体" w:hAnsi="宋体" w:eastAsia="黑体" w:cs="黑体"/>
          <w:color w:val="000000"/>
          <w:kern w:val="0"/>
          <w:sz w:val="21"/>
          <w:szCs w:val="21"/>
          <w:lang w:val="en-US" w:eastAsia="zh-CN" w:bidi="ar"/>
        </w:rPr>
      </w:pPr>
    </w:p>
    <w:p w14:paraId="3EBEC528">
      <w:pPr>
        <w:keepNext w:val="0"/>
        <w:keepLines w:val="0"/>
        <w:widowControl/>
        <w:suppressLineNumbers w:val="0"/>
        <w:jc w:val="center"/>
        <w:rPr>
          <w:rFonts w:ascii="黑体" w:hAnsi="宋体" w:eastAsia="黑体" w:cs="黑体"/>
          <w:color w:val="000000"/>
          <w:kern w:val="0"/>
          <w:sz w:val="21"/>
          <w:szCs w:val="21"/>
          <w:lang w:val="en-US" w:eastAsia="zh-CN" w:bidi="ar"/>
        </w:rPr>
      </w:pPr>
    </w:p>
    <w:p w14:paraId="3EB4052A">
      <w:pPr>
        <w:keepNext w:val="0"/>
        <w:keepLines w:val="0"/>
        <w:widowControl/>
        <w:suppressLineNumbers w:val="0"/>
        <w:jc w:val="center"/>
        <w:rPr>
          <w:rFonts w:ascii="黑体" w:hAnsi="宋体" w:eastAsia="黑体" w:cs="黑体"/>
          <w:color w:val="000000"/>
          <w:kern w:val="0"/>
          <w:sz w:val="21"/>
          <w:szCs w:val="21"/>
          <w:lang w:val="en-US" w:eastAsia="zh-CN" w:bidi="ar"/>
        </w:rPr>
      </w:pPr>
    </w:p>
    <w:p w14:paraId="36346E7F">
      <w:pPr>
        <w:keepNext w:val="0"/>
        <w:keepLines w:val="0"/>
        <w:widowControl/>
        <w:suppressLineNumbers w:val="0"/>
        <w:jc w:val="center"/>
        <w:rPr>
          <w:rFonts w:ascii="黑体" w:hAnsi="宋体" w:eastAsia="黑体" w:cs="黑体"/>
          <w:color w:val="000000"/>
          <w:kern w:val="0"/>
          <w:sz w:val="21"/>
          <w:szCs w:val="21"/>
          <w:lang w:val="en-US" w:eastAsia="zh-CN" w:bidi="ar"/>
        </w:rPr>
      </w:pPr>
    </w:p>
    <w:p w14:paraId="5CC4850A">
      <w:pPr>
        <w:keepNext w:val="0"/>
        <w:keepLines w:val="0"/>
        <w:widowControl/>
        <w:suppressLineNumbers w:val="0"/>
        <w:jc w:val="center"/>
        <w:rPr>
          <w:rFonts w:ascii="黑体" w:hAnsi="宋体" w:eastAsia="黑体" w:cs="黑体"/>
          <w:color w:val="000000"/>
          <w:kern w:val="0"/>
          <w:sz w:val="21"/>
          <w:szCs w:val="21"/>
          <w:lang w:val="en-US" w:eastAsia="zh-CN" w:bidi="ar"/>
        </w:rPr>
      </w:pPr>
    </w:p>
    <w:p w14:paraId="59DF430D">
      <w:pPr>
        <w:keepNext w:val="0"/>
        <w:keepLines w:val="0"/>
        <w:widowControl/>
        <w:suppressLineNumbers w:val="0"/>
        <w:jc w:val="center"/>
        <w:rPr>
          <w:rFonts w:ascii="黑体" w:hAnsi="宋体" w:eastAsia="黑体" w:cs="黑体"/>
          <w:color w:val="000000"/>
          <w:kern w:val="0"/>
          <w:sz w:val="21"/>
          <w:szCs w:val="21"/>
          <w:lang w:val="en-US" w:eastAsia="zh-CN" w:bidi="ar"/>
        </w:rPr>
      </w:pPr>
    </w:p>
    <w:p w14:paraId="584E9418">
      <w:pPr>
        <w:keepNext w:val="0"/>
        <w:keepLines w:val="0"/>
        <w:widowControl/>
        <w:suppressLineNumbers w:val="0"/>
        <w:jc w:val="center"/>
        <w:rPr>
          <w:rFonts w:ascii="黑体" w:hAnsi="宋体" w:eastAsia="黑体" w:cs="黑体"/>
          <w:color w:val="000000"/>
          <w:kern w:val="0"/>
          <w:sz w:val="21"/>
          <w:szCs w:val="21"/>
          <w:lang w:val="en-US" w:eastAsia="zh-CN" w:bidi="ar"/>
        </w:rPr>
      </w:pPr>
    </w:p>
    <w:p w14:paraId="51C5B53F">
      <w:pPr>
        <w:keepNext w:val="0"/>
        <w:keepLines w:val="0"/>
        <w:widowControl/>
        <w:suppressLineNumbers w:val="0"/>
        <w:jc w:val="center"/>
        <w:rPr>
          <w:rFonts w:ascii="黑体" w:hAnsi="宋体" w:eastAsia="黑体" w:cs="黑体"/>
          <w:color w:val="000000"/>
          <w:kern w:val="0"/>
          <w:sz w:val="21"/>
          <w:szCs w:val="21"/>
          <w:lang w:val="en-US" w:eastAsia="zh-CN" w:bidi="ar"/>
        </w:rPr>
      </w:pPr>
    </w:p>
    <w:p w14:paraId="49000B84">
      <w:pPr>
        <w:keepNext w:val="0"/>
        <w:keepLines w:val="0"/>
        <w:widowControl/>
        <w:suppressLineNumbers w:val="0"/>
        <w:jc w:val="center"/>
        <w:rPr>
          <w:rFonts w:ascii="黑体" w:hAnsi="宋体" w:eastAsia="黑体" w:cs="黑体"/>
          <w:color w:val="000000"/>
          <w:kern w:val="0"/>
          <w:sz w:val="21"/>
          <w:szCs w:val="21"/>
          <w:lang w:val="en-US" w:eastAsia="zh-CN" w:bidi="ar"/>
        </w:rPr>
      </w:pPr>
    </w:p>
    <w:p w14:paraId="3E5D99CF">
      <w:pPr>
        <w:keepNext w:val="0"/>
        <w:keepLines w:val="0"/>
        <w:widowControl/>
        <w:suppressLineNumbers w:val="0"/>
        <w:jc w:val="center"/>
        <w:rPr>
          <w:rFonts w:ascii="黑体" w:hAnsi="宋体" w:eastAsia="黑体" w:cs="黑体"/>
          <w:color w:val="000000"/>
          <w:kern w:val="0"/>
          <w:sz w:val="21"/>
          <w:szCs w:val="21"/>
          <w:lang w:val="en-US" w:eastAsia="zh-CN" w:bidi="ar"/>
        </w:rPr>
      </w:pPr>
    </w:p>
    <w:p w14:paraId="371061F5">
      <w:pPr>
        <w:keepNext w:val="0"/>
        <w:keepLines w:val="0"/>
        <w:widowControl/>
        <w:suppressLineNumbers w:val="0"/>
        <w:jc w:val="center"/>
        <w:rPr>
          <w:rFonts w:ascii="黑体" w:hAnsi="宋体" w:eastAsia="黑体" w:cs="黑体"/>
          <w:color w:val="000000"/>
          <w:kern w:val="0"/>
          <w:sz w:val="21"/>
          <w:szCs w:val="21"/>
          <w:lang w:val="en-US" w:eastAsia="zh-CN" w:bidi="ar"/>
        </w:rPr>
      </w:pPr>
    </w:p>
    <w:p w14:paraId="6EC1597B">
      <w:pPr>
        <w:keepNext w:val="0"/>
        <w:keepLines w:val="0"/>
        <w:widowControl/>
        <w:suppressLineNumbers w:val="0"/>
        <w:jc w:val="center"/>
        <w:rPr>
          <w:rFonts w:ascii="黑体" w:hAnsi="宋体" w:eastAsia="黑体" w:cs="黑体"/>
          <w:color w:val="000000"/>
          <w:kern w:val="0"/>
          <w:sz w:val="21"/>
          <w:szCs w:val="21"/>
          <w:lang w:val="en-US" w:eastAsia="zh-CN" w:bidi="ar"/>
        </w:rPr>
      </w:pPr>
    </w:p>
    <w:p w14:paraId="4E7C0A09">
      <w:pPr>
        <w:keepNext w:val="0"/>
        <w:keepLines w:val="0"/>
        <w:widowControl/>
        <w:suppressLineNumbers w:val="0"/>
        <w:jc w:val="center"/>
        <w:rPr>
          <w:rFonts w:ascii="黑体" w:hAnsi="宋体" w:eastAsia="黑体" w:cs="黑体"/>
          <w:color w:val="000000"/>
          <w:kern w:val="0"/>
          <w:sz w:val="21"/>
          <w:szCs w:val="21"/>
          <w:lang w:val="en-US" w:eastAsia="zh-CN" w:bidi="ar"/>
        </w:rPr>
      </w:pPr>
    </w:p>
    <w:p w14:paraId="281738AE">
      <w:pPr>
        <w:keepNext w:val="0"/>
        <w:keepLines w:val="0"/>
        <w:widowControl/>
        <w:suppressLineNumbers w:val="0"/>
        <w:jc w:val="center"/>
        <w:rPr>
          <w:rFonts w:ascii="黑体" w:hAnsi="宋体" w:eastAsia="黑体" w:cs="黑体"/>
          <w:color w:val="000000"/>
          <w:kern w:val="0"/>
          <w:sz w:val="21"/>
          <w:szCs w:val="21"/>
          <w:lang w:val="en-US" w:eastAsia="zh-CN" w:bidi="ar"/>
        </w:rPr>
      </w:pPr>
    </w:p>
    <w:p w14:paraId="67906234">
      <w:pPr>
        <w:keepNext w:val="0"/>
        <w:keepLines w:val="0"/>
        <w:widowControl/>
        <w:suppressLineNumbers w:val="0"/>
        <w:jc w:val="center"/>
        <w:rPr>
          <w:rFonts w:ascii="黑体" w:hAnsi="宋体" w:eastAsia="黑体" w:cs="黑体"/>
          <w:color w:val="000000"/>
          <w:kern w:val="0"/>
          <w:sz w:val="21"/>
          <w:szCs w:val="21"/>
          <w:lang w:val="en-US" w:eastAsia="zh-CN" w:bidi="ar"/>
        </w:rPr>
      </w:pPr>
    </w:p>
    <w:p w14:paraId="313943C9">
      <w:pPr>
        <w:keepNext w:val="0"/>
        <w:keepLines w:val="0"/>
        <w:widowControl/>
        <w:suppressLineNumbers w:val="0"/>
        <w:jc w:val="center"/>
        <w:rPr>
          <w:rFonts w:ascii="黑体" w:hAnsi="宋体" w:eastAsia="黑体" w:cs="黑体"/>
          <w:color w:val="000000"/>
          <w:kern w:val="0"/>
          <w:sz w:val="21"/>
          <w:szCs w:val="21"/>
          <w:lang w:val="en-US" w:eastAsia="zh-CN" w:bidi="ar"/>
        </w:rPr>
      </w:pPr>
    </w:p>
    <w:p w14:paraId="6038AAA5">
      <w:pPr>
        <w:keepNext w:val="0"/>
        <w:keepLines w:val="0"/>
        <w:widowControl/>
        <w:suppressLineNumbers w:val="0"/>
        <w:jc w:val="center"/>
        <w:rPr>
          <w:rFonts w:ascii="黑体" w:hAnsi="宋体" w:eastAsia="黑体" w:cs="黑体"/>
          <w:color w:val="000000"/>
          <w:kern w:val="0"/>
          <w:sz w:val="21"/>
          <w:szCs w:val="21"/>
          <w:lang w:val="en-US" w:eastAsia="zh-CN" w:bidi="ar"/>
        </w:rPr>
      </w:pPr>
    </w:p>
    <w:p w14:paraId="7605FF8B">
      <w:pPr>
        <w:keepNext w:val="0"/>
        <w:keepLines w:val="0"/>
        <w:widowControl/>
        <w:suppressLineNumbers w:val="0"/>
        <w:jc w:val="center"/>
        <w:rPr>
          <w:rFonts w:ascii="黑体" w:hAnsi="宋体" w:eastAsia="黑体" w:cs="黑体"/>
          <w:color w:val="000000"/>
          <w:kern w:val="0"/>
          <w:sz w:val="21"/>
          <w:szCs w:val="21"/>
          <w:lang w:val="en-US" w:eastAsia="zh-CN" w:bidi="ar"/>
        </w:rPr>
      </w:pPr>
    </w:p>
    <w:p w14:paraId="7FD60D37">
      <w:pPr>
        <w:keepNext w:val="0"/>
        <w:keepLines w:val="0"/>
        <w:widowControl/>
        <w:suppressLineNumbers w:val="0"/>
        <w:jc w:val="center"/>
        <w:rPr>
          <w:rFonts w:ascii="黑体" w:hAnsi="宋体" w:eastAsia="黑体" w:cs="黑体"/>
          <w:color w:val="000000"/>
          <w:kern w:val="0"/>
          <w:sz w:val="21"/>
          <w:szCs w:val="21"/>
          <w:lang w:val="en-US" w:eastAsia="zh-CN" w:bidi="ar"/>
        </w:rPr>
      </w:pPr>
    </w:p>
    <w:p w14:paraId="25FD6E2B">
      <w:pPr>
        <w:keepNext w:val="0"/>
        <w:keepLines w:val="0"/>
        <w:widowControl/>
        <w:suppressLineNumbers w:val="0"/>
        <w:jc w:val="center"/>
        <w:rPr>
          <w:rFonts w:ascii="黑体" w:hAnsi="宋体" w:eastAsia="黑体" w:cs="黑体"/>
          <w:color w:val="000000"/>
          <w:kern w:val="0"/>
          <w:sz w:val="21"/>
          <w:szCs w:val="21"/>
          <w:lang w:val="en-US" w:eastAsia="zh-CN" w:bidi="ar"/>
        </w:rPr>
      </w:pPr>
    </w:p>
    <w:p w14:paraId="164EBE74">
      <w:pPr>
        <w:keepNext w:val="0"/>
        <w:keepLines w:val="0"/>
        <w:widowControl/>
        <w:suppressLineNumbers w:val="0"/>
        <w:jc w:val="center"/>
        <w:rPr>
          <w:rFonts w:ascii="黑体" w:hAnsi="宋体" w:eastAsia="黑体" w:cs="黑体"/>
          <w:color w:val="000000"/>
          <w:kern w:val="0"/>
          <w:sz w:val="21"/>
          <w:szCs w:val="21"/>
          <w:lang w:val="en-US" w:eastAsia="zh-CN" w:bidi="ar"/>
        </w:rPr>
      </w:pPr>
    </w:p>
    <w:p w14:paraId="60C0C2E8">
      <w:pPr>
        <w:keepNext w:val="0"/>
        <w:keepLines w:val="0"/>
        <w:widowControl/>
        <w:suppressLineNumbers w:val="0"/>
        <w:jc w:val="center"/>
        <w:rPr>
          <w:rFonts w:ascii="黑体" w:hAnsi="宋体" w:eastAsia="黑体" w:cs="黑体"/>
          <w:color w:val="000000"/>
          <w:kern w:val="0"/>
          <w:sz w:val="21"/>
          <w:szCs w:val="21"/>
          <w:lang w:val="en-US" w:eastAsia="zh-CN" w:bidi="ar"/>
        </w:rPr>
      </w:pPr>
    </w:p>
    <w:p w14:paraId="03845044">
      <w:pPr>
        <w:keepNext w:val="0"/>
        <w:keepLines w:val="0"/>
        <w:widowControl/>
        <w:suppressLineNumbers w:val="0"/>
        <w:jc w:val="center"/>
        <w:rPr>
          <w:rFonts w:ascii="黑体" w:hAnsi="宋体" w:eastAsia="黑体" w:cs="黑体"/>
          <w:color w:val="000000"/>
          <w:kern w:val="0"/>
          <w:sz w:val="21"/>
          <w:szCs w:val="21"/>
          <w:lang w:val="en-US" w:eastAsia="zh-CN" w:bidi="ar"/>
        </w:rPr>
      </w:pPr>
    </w:p>
    <w:p w14:paraId="3CCCE7A0">
      <w:pPr>
        <w:pStyle w:val="55"/>
        <w:keepNext/>
        <w:keepLines w:val="0"/>
        <w:widowControl/>
        <w:numPr>
          <w:ilvl w:val="0"/>
          <w:numId w:val="0"/>
        </w:numPr>
        <w:suppressLineNumbers w:val="0"/>
        <w:shd w:val="clear" w:color="FFFFFF" w:fill="FFFFFF"/>
        <w:tabs>
          <w:tab w:val="left" w:pos="360"/>
        </w:tabs>
        <w:spacing w:before="0" w:after="0" w:line="240" w:lineRule="exact"/>
        <w:jc w:val="center"/>
        <w:rPr>
          <w:rFonts w:hint="eastAsia" w:ascii="黑体" w:eastAsia="黑体" w:hAnsiTheme="minorHAnsi" w:cstheme="minorBidi"/>
          <w:sz w:val="21"/>
          <w:szCs w:val="20"/>
          <w:lang w:eastAsia="zh-CN" w:bidi="ar"/>
        </w:rPr>
      </w:pPr>
      <w:bookmarkStart w:id="173" w:name="_Toc23356"/>
      <w:bookmarkStart w:id="174" w:name="_Toc5564"/>
      <w:bookmarkStart w:id="175" w:name="_Toc11846"/>
      <w:bookmarkStart w:id="176" w:name="_Toc12610"/>
      <w:r>
        <w:rPr>
          <w:rFonts w:hint="eastAsia" w:ascii="黑体" w:eastAsia="黑体" w:hAnsiTheme="minorHAnsi" w:cstheme="minorBidi"/>
          <w:color w:val="000000"/>
          <w:kern w:val="0"/>
          <w:sz w:val="21"/>
          <w:szCs w:val="20"/>
          <w:lang w:val="en-US" w:eastAsia="zh-CN" w:bidi="ar"/>
        </w:rPr>
        <w:t>附 录 A</w:t>
      </w:r>
      <w:bookmarkEnd w:id="173"/>
      <w:bookmarkEnd w:id="174"/>
      <w:bookmarkEnd w:id="175"/>
      <w:bookmarkEnd w:id="176"/>
    </w:p>
    <w:p w14:paraId="524A9576">
      <w:pPr>
        <w:pStyle w:val="55"/>
        <w:keepNext/>
        <w:keepLines w:val="0"/>
        <w:widowControl/>
        <w:numPr>
          <w:ilvl w:val="0"/>
          <w:numId w:val="0"/>
        </w:numPr>
        <w:suppressLineNumbers w:val="0"/>
        <w:shd w:val="clear" w:color="FFFFFF" w:fill="FFFFFF"/>
        <w:tabs>
          <w:tab w:val="left" w:pos="360"/>
        </w:tabs>
        <w:spacing w:before="0" w:after="0" w:line="240" w:lineRule="exact"/>
        <w:jc w:val="center"/>
        <w:rPr>
          <w:rFonts w:hint="eastAsia" w:ascii="黑体" w:eastAsia="黑体" w:hAnsiTheme="minorHAnsi" w:cstheme="minorBidi"/>
          <w:sz w:val="21"/>
          <w:szCs w:val="20"/>
          <w:lang w:bidi="ar"/>
        </w:rPr>
      </w:pPr>
      <w:bookmarkStart w:id="177" w:name="_Toc23246"/>
      <w:bookmarkStart w:id="178" w:name="_Toc26346"/>
      <w:r>
        <w:rPr>
          <w:rFonts w:hint="eastAsia" w:ascii="黑体" w:eastAsia="黑体" w:hAnsiTheme="minorHAnsi" w:cstheme="minorBidi"/>
          <w:sz w:val="21"/>
          <w:szCs w:val="20"/>
          <w:lang w:val="en-US" w:eastAsia="zh-CN" w:bidi="ar"/>
        </w:rPr>
        <w:t>（资料性）</w:t>
      </w:r>
      <w:bookmarkEnd w:id="177"/>
      <w:bookmarkEnd w:id="178"/>
    </w:p>
    <w:p w14:paraId="57787136">
      <w:pPr>
        <w:pStyle w:val="55"/>
        <w:keepNext/>
        <w:keepLines w:val="0"/>
        <w:widowControl/>
        <w:numPr>
          <w:ilvl w:val="0"/>
          <w:numId w:val="0"/>
        </w:numPr>
        <w:suppressLineNumbers w:val="0"/>
        <w:shd w:val="clear" w:color="FFFFFF" w:fill="FFFFFF"/>
        <w:tabs>
          <w:tab w:val="left" w:pos="360"/>
        </w:tabs>
        <w:spacing w:before="0" w:after="0" w:line="240" w:lineRule="exact"/>
        <w:jc w:val="center"/>
        <w:rPr>
          <w:rFonts w:hint="eastAsia" w:ascii="黑体" w:eastAsia="黑体" w:hAnsiTheme="minorHAnsi" w:cstheme="minorBidi"/>
          <w:sz w:val="21"/>
          <w:szCs w:val="20"/>
          <w:lang w:bidi="ar"/>
        </w:rPr>
      </w:pPr>
      <w:bookmarkStart w:id="179" w:name="_Toc22732"/>
      <w:bookmarkStart w:id="180" w:name="_Toc9197"/>
      <w:r>
        <w:rPr>
          <w:rFonts w:hint="eastAsia" w:ascii="黑体" w:eastAsia="黑体" w:hAnsiTheme="minorHAnsi" w:cstheme="minorBidi"/>
          <w:sz w:val="21"/>
          <w:szCs w:val="20"/>
          <w:lang w:val="en-US" w:eastAsia="zh-CN" w:bidi="ar"/>
        </w:rPr>
        <w:t>工作危害分析法（JHA）</w:t>
      </w:r>
      <w:bookmarkEnd w:id="179"/>
      <w:bookmarkEnd w:id="180"/>
    </w:p>
    <w:p w14:paraId="6B95DD67">
      <w:pPr>
        <w:keepNext w:val="0"/>
        <w:keepLines w:val="0"/>
        <w:widowControl/>
        <w:suppressLineNumbers w:val="0"/>
        <w:jc w:val="left"/>
      </w:pPr>
      <w:r>
        <w:rPr>
          <w:rFonts w:hint="eastAsia" w:ascii="黑体" w:hAnsi="宋体" w:eastAsia="黑体" w:cs="黑体"/>
          <w:color w:val="000000"/>
          <w:kern w:val="0"/>
          <w:sz w:val="21"/>
          <w:szCs w:val="21"/>
          <w:lang w:val="en-US" w:eastAsia="zh-CN" w:bidi="ar"/>
        </w:rPr>
        <w:t xml:space="preserve">A.1 方法概述 </w:t>
      </w:r>
    </w:p>
    <w:p w14:paraId="493D747D">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通过对生态环境监测活动的逐步分析，找出具有危险的工作步骤，进行控制和预防，是辨识危害因素及其风险的方法之一。适合于对监测活动中存在的风险进行分析。包括监测活动划分、选定、危险源辨识等步骤。 </w:t>
      </w:r>
    </w:p>
    <w:p w14:paraId="037E1BA7">
      <w:pPr>
        <w:pStyle w:val="79"/>
        <w:numPr>
          <w:ilvl w:val="0"/>
          <w:numId w:val="0"/>
        </w:numPr>
        <w:tabs>
          <w:tab w:val="left" w:pos="180"/>
        </w:tabs>
        <w:spacing w:before="156" w:after="156"/>
        <w:ind w:left="3038"/>
        <w:jc w:val="both"/>
        <w:outlineLvl w:val="0"/>
        <w:rPr>
          <w:rFonts w:hint="eastAsia" w:ascii="黑体" w:hAnsi="Times New Roman" w:eastAsia="黑体" w:cs="Times New Roman"/>
          <w:sz w:val="21"/>
          <w:szCs w:val="20"/>
        </w:rPr>
      </w:pPr>
      <w:bookmarkStart w:id="181" w:name="_Toc22635"/>
      <w:bookmarkStart w:id="182" w:name="_Toc23147"/>
      <w:bookmarkStart w:id="183" w:name="_Toc27225"/>
      <w:bookmarkStart w:id="184" w:name="_Toc28127"/>
      <w:bookmarkStart w:id="185" w:name="_Toc11364"/>
      <w:r>
        <w:rPr>
          <w:rFonts w:hint="eastAsia" w:ascii="黑体" w:hAnsi="Times New Roman" w:eastAsia="黑体" w:cs="Times New Roman"/>
          <w:spacing w:val="0"/>
          <w:sz w:val="21"/>
          <w:szCs w:val="20"/>
        </w:rPr>
        <w:t xml:space="preserve">表 </w:t>
      </w:r>
      <w:r>
        <w:rPr>
          <w:rFonts w:hint="eastAsia" w:ascii="黑体" w:hAnsi="Times New Roman" w:eastAsia="黑体" w:cs="Times New Roman"/>
          <w:spacing w:val="0"/>
          <w:sz w:val="21"/>
          <w:szCs w:val="20"/>
          <w:lang w:val="en-US" w:eastAsia="zh-CN"/>
        </w:rPr>
        <w:t>A.</w:t>
      </w:r>
      <w:r>
        <w:rPr>
          <w:rFonts w:hint="eastAsia" w:ascii="黑体" w:hAnsi="Times New Roman" w:eastAsia="黑体" w:cs="Times New Roman"/>
          <w:spacing w:val="0"/>
          <w:sz w:val="21"/>
          <w:szCs w:val="20"/>
        </w:rPr>
        <w:t>1 工作危害分析（JHA+LEC）评价记录</w:t>
      </w:r>
      <w:bookmarkEnd w:id="181"/>
      <w:bookmarkEnd w:id="182"/>
      <w:bookmarkEnd w:id="183"/>
      <w:bookmarkEnd w:id="184"/>
      <w:bookmarkEnd w:id="185"/>
    </w:p>
    <w:p w14:paraId="13A8A5A5">
      <w:pPr>
        <w:spacing w:before="188" w:line="213" w:lineRule="auto"/>
        <w:rPr>
          <w:rFonts w:ascii="宋体" w:hAnsi="宋体" w:eastAsia="宋体" w:cs="宋体"/>
          <w:sz w:val="18"/>
          <w:szCs w:val="18"/>
        </w:rPr>
      </w:pPr>
      <w:r>
        <w:rPr>
          <w:rFonts w:ascii="宋体" w:hAnsi="宋体" w:eastAsia="宋体" w:cs="宋体"/>
          <w:sz w:val="18"/>
          <w:szCs w:val="18"/>
        </w:rPr>
        <w:t xml:space="preserve">（记录受控号）单位：             岗位：               风险点（作业活动）名称：          </w:t>
      </w:r>
      <w:r>
        <w:rPr>
          <w:rFonts w:ascii="宋体" w:hAnsi="宋体" w:eastAsia="宋体" w:cs="宋体"/>
          <w:spacing w:val="-1"/>
          <w:sz w:val="18"/>
          <w:szCs w:val="18"/>
        </w:rPr>
        <w:t xml:space="preserve">    No：</w:t>
      </w:r>
    </w:p>
    <w:tbl>
      <w:tblPr>
        <w:tblStyle w:val="20"/>
        <w:tblW w:w="501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6"/>
        <w:gridCol w:w="882"/>
        <w:gridCol w:w="1938"/>
        <w:gridCol w:w="928"/>
        <w:gridCol w:w="388"/>
        <w:gridCol w:w="311"/>
        <w:gridCol w:w="392"/>
        <w:gridCol w:w="311"/>
        <w:gridCol w:w="315"/>
        <w:gridCol w:w="199"/>
        <w:gridCol w:w="197"/>
        <w:gridCol w:w="199"/>
        <w:gridCol w:w="231"/>
        <w:gridCol w:w="425"/>
        <w:gridCol w:w="488"/>
        <w:gridCol w:w="1048"/>
        <w:gridCol w:w="461"/>
      </w:tblGrid>
      <w:tr w14:paraId="75521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jc w:val="center"/>
        </w:trPr>
        <w:tc>
          <w:tcPr>
            <w:tcW w:w="169" w:type="pct"/>
            <w:vMerge w:val="restart"/>
            <w:tcBorders>
              <w:bottom w:val="nil"/>
            </w:tcBorders>
            <w:textDirection w:val="tbRlV"/>
            <w:vAlign w:val="top"/>
          </w:tcPr>
          <w:p w14:paraId="1BC2CC9F">
            <w:pPr>
              <w:pStyle w:val="80"/>
              <w:spacing w:before="2" w:line="210" w:lineRule="auto"/>
              <w:ind w:left="543"/>
            </w:pPr>
            <w:r>
              <w:rPr>
                <w:spacing w:val="26"/>
              </w:rPr>
              <w:t>序号</w:t>
            </w:r>
          </w:p>
        </w:tc>
        <w:tc>
          <w:tcPr>
            <w:tcW w:w="489" w:type="pct"/>
            <w:vMerge w:val="restart"/>
            <w:tcBorders>
              <w:bottom w:val="nil"/>
            </w:tcBorders>
            <w:vAlign w:val="top"/>
          </w:tcPr>
          <w:p w14:paraId="4149C41C">
            <w:pPr>
              <w:spacing w:line="241" w:lineRule="auto"/>
              <w:rPr>
                <w:rFonts w:ascii="Arial"/>
                <w:sz w:val="21"/>
              </w:rPr>
            </w:pPr>
          </w:p>
          <w:p w14:paraId="35A9B853">
            <w:pPr>
              <w:spacing w:line="241" w:lineRule="auto"/>
              <w:rPr>
                <w:rFonts w:ascii="Arial"/>
                <w:sz w:val="21"/>
              </w:rPr>
            </w:pPr>
          </w:p>
          <w:p w14:paraId="73357DED">
            <w:pPr>
              <w:pStyle w:val="80"/>
              <w:spacing w:before="58" w:line="229" w:lineRule="auto"/>
              <w:ind w:left="169" w:right="165" w:hanging="1"/>
            </w:pPr>
            <w:r>
              <w:rPr>
                <w:spacing w:val="-4"/>
              </w:rPr>
              <w:t>作业</w:t>
            </w:r>
            <w:r>
              <w:t xml:space="preserve"> </w:t>
            </w:r>
            <w:r>
              <w:rPr>
                <w:spacing w:val="-5"/>
              </w:rPr>
              <w:t>步骤</w:t>
            </w:r>
          </w:p>
        </w:tc>
        <w:tc>
          <w:tcPr>
            <w:tcW w:w="1073" w:type="pct"/>
            <w:vMerge w:val="restart"/>
            <w:tcBorders>
              <w:bottom w:val="nil"/>
            </w:tcBorders>
            <w:vAlign w:val="top"/>
          </w:tcPr>
          <w:p w14:paraId="5DD8AD50">
            <w:pPr>
              <w:pStyle w:val="80"/>
              <w:spacing w:before="192" w:line="234" w:lineRule="auto"/>
              <w:ind w:left="115" w:right="80" w:firstLine="59"/>
              <w:jc w:val="both"/>
            </w:pPr>
            <w:r>
              <w:rPr>
                <w:spacing w:val="-3"/>
              </w:rPr>
              <w:t>危险源或</w:t>
            </w:r>
            <w:r>
              <w:t xml:space="preserve">  </w:t>
            </w:r>
            <w:r>
              <w:rPr>
                <w:spacing w:val="12"/>
              </w:rPr>
              <w:t>潜在事件</w:t>
            </w:r>
            <w:r>
              <w:rPr>
                <w:spacing w:val="-8"/>
              </w:rPr>
              <w:t>（人、物、</w:t>
            </w:r>
            <w:r>
              <w:rPr>
                <w:spacing w:val="-7"/>
              </w:rPr>
              <w:t>作业环境、</w:t>
            </w:r>
            <w:r>
              <w:t xml:space="preserve"> </w:t>
            </w:r>
            <w:r>
              <w:rPr>
                <w:spacing w:val="-6"/>
              </w:rPr>
              <w:t>管理）</w:t>
            </w:r>
          </w:p>
        </w:tc>
        <w:tc>
          <w:tcPr>
            <w:tcW w:w="514" w:type="pct"/>
            <w:vMerge w:val="restart"/>
            <w:tcBorders>
              <w:bottom w:val="nil"/>
            </w:tcBorders>
            <w:vAlign w:val="top"/>
          </w:tcPr>
          <w:p w14:paraId="06225DA8">
            <w:pPr>
              <w:spacing w:line="241" w:lineRule="auto"/>
              <w:rPr>
                <w:rFonts w:ascii="Arial"/>
                <w:sz w:val="21"/>
              </w:rPr>
            </w:pPr>
          </w:p>
          <w:p w14:paraId="759A72D7">
            <w:pPr>
              <w:spacing w:line="241" w:lineRule="auto"/>
              <w:rPr>
                <w:rFonts w:ascii="Arial"/>
                <w:sz w:val="21"/>
              </w:rPr>
            </w:pPr>
          </w:p>
          <w:p w14:paraId="16848C68">
            <w:pPr>
              <w:pStyle w:val="80"/>
              <w:spacing w:before="59" w:line="229" w:lineRule="auto"/>
              <w:ind w:left="174" w:right="172"/>
            </w:pPr>
            <w:r>
              <w:rPr>
                <w:spacing w:val="-5"/>
              </w:rPr>
              <w:t>主要</w:t>
            </w:r>
            <w:r>
              <w:t xml:space="preserve"> </w:t>
            </w:r>
            <w:r>
              <w:rPr>
                <w:spacing w:val="-5"/>
              </w:rPr>
              <w:t>后果</w:t>
            </w:r>
          </w:p>
        </w:tc>
        <w:tc>
          <w:tcPr>
            <w:tcW w:w="953" w:type="pct"/>
            <w:gridSpan w:val="5"/>
            <w:vAlign w:val="top"/>
          </w:tcPr>
          <w:p w14:paraId="21C3935E">
            <w:pPr>
              <w:pStyle w:val="80"/>
              <w:spacing w:before="188" w:line="220" w:lineRule="auto"/>
              <w:ind w:left="573"/>
            </w:pPr>
            <w:r>
              <w:rPr>
                <w:spacing w:val="-2"/>
              </w:rPr>
              <w:t>现有控制措施</w:t>
            </w:r>
          </w:p>
        </w:tc>
        <w:tc>
          <w:tcPr>
            <w:tcW w:w="109" w:type="pct"/>
            <w:vMerge w:val="restart"/>
            <w:tcBorders>
              <w:bottom w:val="nil"/>
            </w:tcBorders>
            <w:vAlign w:val="top"/>
          </w:tcPr>
          <w:p w14:paraId="6B5AE3A2">
            <w:pPr>
              <w:spacing w:line="315" w:lineRule="auto"/>
              <w:rPr>
                <w:rFonts w:ascii="Arial"/>
                <w:sz w:val="21"/>
              </w:rPr>
            </w:pPr>
          </w:p>
          <w:p w14:paraId="34E9D887">
            <w:pPr>
              <w:spacing w:line="315" w:lineRule="auto"/>
              <w:rPr>
                <w:rFonts w:ascii="Arial"/>
                <w:sz w:val="21"/>
              </w:rPr>
            </w:pPr>
          </w:p>
          <w:p w14:paraId="2F692278">
            <w:pPr>
              <w:pStyle w:val="80"/>
              <w:spacing w:before="58" w:line="180" w:lineRule="auto"/>
              <w:ind w:left="110"/>
            </w:pPr>
            <w:r>
              <w:t>L</w:t>
            </w:r>
          </w:p>
        </w:tc>
        <w:tc>
          <w:tcPr>
            <w:tcW w:w="108" w:type="pct"/>
            <w:vMerge w:val="restart"/>
            <w:tcBorders>
              <w:bottom w:val="nil"/>
            </w:tcBorders>
            <w:vAlign w:val="top"/>
          </w:tcPr>
          <w:p w14:paraId="56A278BA">
            <w:pPr>
              <w:spacing w:line="315" w:lineRule="auto"/>
              <w:rPr>
                <w:rFonts w:ascii="Arial"/>
                <w:sz w:val="21"/>
              </w:rPr>
            </w:pPr>
          </w:p>
          <w:p w14:paraId="52E09FCF">
            <w:pPr>
              <w:spacing w:line="315" w:lineRule="auto"/>
              <w:rPr>
                <w:rFonts w:ascii="Arial"/>
                <w:sz w:val="21"/>
              </w:rPr>
            </w:pPr>
          </w:p>
          <w:p w14:paraId="52E6DA35">
            <w:pPr>
              <w:pStyle w:val="80"/>
              <w:spacing w:before="58" w:line="180" w:lineRule="auto"/>
              <w:ind w:left="109"/>
            </w:pPr>
            <w:r>
              <w:t>E</w:t>
            </w:r>
          </w:p>
        </w:tc>
        <w:tc>
          <w:tcPr>
            <w:tcW w:w="109" w:type="pct"/>
            <w:vMerge w:val="restart"/>
            <w:tcBorders>
              <w:bottom w:val="nil"/>
            </w:tcBorders>
            <w:vAlign w:val="top"/>
          </w:tcPr>
          <w:p w14:paraId="296B8F5A">
            <w:pPr>
              <w:spacing w:line="314" w:lineRule="auto"/>
              <w:rPr>
                <w:rFonts w:ascii="Arial"/>
                <w:sz w:val="21"/>
              </w:rPr>
            </w:pPr>
          </w:p>
          <w:p w14:paraId="492C2DAE">
            <w:pPr>
              <w:spacing w:line="315" w:lineRule="auto"/>
              <w:rPr>
                <w:rFonts w:ascii="Arial"/>
                <w:sz w:val="21"/>
              </w:rPr>
            </w:pPr>
          </w:p>
          <w:p w14:paraId="0C79D9B4">
            <w:pPr>
              <w:pStyle w:val="80"/>
              <w:spacing w:before="58" w:line="181" w:lineRule="auto"/>
              <w:ind w:left="110"/>
            </w:pPr>
            <w:r>
              <w:t>C</w:t>
            </w:r>
          </w:p>
        </w:tc>
        <w:tc>
          <w:tcPr>
            <w:tcW w:w="128" w:type="pct"/>
            <w:vMerge w:val="restart"/>
            <w:tcBorders>
              <w:bottom w:val="nil"/>
            </w:tcBorders>
            <w:vAlign w:val="top"/>
          </w:tcPr>
          <w:p w14:paraId="53CDDAF8">
            <w:pPr>
              <w:spacing w:line="315" w:lineRule="auto"/>
              <w:rPr>
                <w:rFonts w:ascii="Arial"/>
                <w:sz w:val="21"/>
              </w:rPr>
            </w:pPr>
          </w:p>
          <w:p w14:paraId="5E437058">
            <w:pPr>
              <w:spacing w:line="315" w:lineRule="auto"/>
              <w:rPr>
                <w:rFonts w:ascii="Arial"/>
                <w:sz w:val="21"/>
              </w:rPr>
            </w:pPr>
          </w:p>
          <w:p w14:paraId="3A6F375D">
            <w:pPr>
              <w:pStyle w:val="80"/>
              <w:spacing w:before="58" w:line="180" w:lineRule="auto"/>
              <w:ind w:left="109"/>
            </w:pPr>
            <w:r>
              <w:t>D</w:t>
            </w:r>
          </w:p>
        </w:tc>
        <w:tc>
          <w:tcPr>
            <w:tcW w:w="235" w:type="pct"/>
            <w:vMerge w:val="restart"/>
            <w:tcBorders>
              <w:bottom w:val="nil"/>
            </w:tcBorders>
            <w:textDirection w:val="tbRlV"/>
            <w:vAlign w:val="top"/>
          </w:tcPr>
          <w:p w14:paraId="7F8E529B">
            <w:pPr>
              <w:pStyle w:val="80"/>
              <w:spacing w:before="193" w:line="207" w:lineRule="auto"/>
              <w:ind w:left="310"/>
            </w:pPr>
            <w:r>
              <w:rPr>
                <w:spacing w:val="40"/>
              </w:rPr>
              <w:t>评价级别</w:t>
            </w:r>
          </w:p>
        </w:tc>
        <w:tc>
          <w:tcPr>
            <w:tcW w:w="270" w:type="pct"/>
            <w:vMerge w:val="restart"/>
            <w:tcBorders>
              <w:bottom w:val="nil"/>
            </w:tcBorders>
            <w:textDirection w:val="tbRlV"/>
            <w:vAlign w:val="top"/>
          </w:tcPr>
          <w:p w14:paraId="417593B1">
            <w:pPr>
              <w:pStyle w:val="80"/>
              <w:spacing w:before="192" w:line="209" w:lineRule="auto"/>
              <w:ind w:left="310"/>
            </w:pPr>
            <w:r>
              <w:rPr>
                <w:spacing w:val="40"/>
              </w:rPr>
              <w:t>管控级别</w:t>
            </w:r>
          </w:p>
        </w:tc>
        <w:tc>
          <w:tcPr>
            <w:tcW w:w="581" w:type="pct"/>
            <w:vMerge w:val="restart"/>
            <w:tcBorders>
              <w:bottom w:val="nil"/>
            </w:tcBorders>
            <w:vAlign w:val="top"/>
          </w:tcPr>
          <w:p w14:paraId="1321FCC1">
            <w:pPr>
              <w:spacing w:line="299" w:lineRule="auto"/>
              <w:rPr>
                <w:rFonts w:ascii="Arial"/>
                <w:sz w:val="21"/>
              </w:rPr>
            </w:pPr>
          </w:p>
          <w:p w14:paraId="33C09507">
            <w:pPr>
              <w:spacing w:line="299" w:lineRule="auto"/>
              <w:rPr>
                <w:rFonts w:ascii="Arial"/>
                <w:sz w:val="21"/>
              </w:rPr>
            </w:pPr>
          </w:p>
          <w:p w14:paraId="645835F9">
            <w:pPr>
              <w:pStyle w:val="80"/>
              <w:spacing w:before="58" w:line="220" w:lineRule="auto"/>
              <w:ind w:left="118"/>
            </w:pPr>
            <w:r>
              <w:rPr>
                <w:spacing w:val="-1"/>
              </w:rPr>
              <w:t>建议新增（改进）措施</w:t>
            </w:r>
          </w:p>
        </w:tc>
        <w:tc>
          <w:tcPr>
            <w:tcW w:w="255" w:type="pct"/>
            <w:vMerge w:val="restart"/>
            <w:tcBorders>
              <w:bottom w:val="nil"/>
            </w:tcBorders>
            <w:vAlign w:val="top"/>
          </w:tcPr>
          <w:p w14:paraId="22326AA2">
            <w:pPr>
              <w:spacing w:line="299" w:lineRule="auto"/>
              <w:rPr>
                <w:rFonts w:ascii="Arial"/>
                <w:sz w:val="21"/>
              </w:rPr>
            </w:pPr>
          </w:p>
          <w:p w14:paraId="2B6CB7B3">
            <w:pPr>
              <w:spacing w:line="299" w:lineRule="auto"/>
              <w:rPr>
                <w:rFonts w:ascii="Arial"/>
                <w:sz w:val="21"/>
              </w:rPr>
            </w:pPr>
          </w:p>
          <w:p w14:paraId="50F5099C">
            <w:pPr>
              <w:pStyle w:val="80"/>
              <w:spacing w:before="59" w:line="221" w:lineRule="auto"/>
              <w:ind w:left="184"/>
            </w:pPr>
            <w:r>
              <w:rPr>
                <w:spacing w:val="-3"/>
              </w:rPr>
              <w:t>备注</w:t>
            </w:r>
          </w:p>
        </w:tc>
      </w:tr>
      <w:tr w14:paraId="76865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jc w:val="center"/>
        </w:trPr>
        <w:tc>
          <w:tcPr>
            <w:tcW w:w="169" w:type="pct"/>
            <w:vMerge w:val="continue"/>
            <w:tcBorders>
              <w:top w:val="nil"/>
            </w:tcBorders>
            <w:textDirection w:val="tbRlV"/>
            <w:vAlign w:val="top"/>
          </w:tcPr>
          <w:p w14:paraId="5565ABFE">
            <w:pPr>
              <w:rPr>
                <w:rFonts w:ascii="Arial"/>
                <w:sz w:val="21"/>
              </w:rPr>
            </w:pPr>
          </w:p>
        </w:tc>
        <w:tc>
          <w:tcPr>
            <w:tcW w:w="489" w:type="pct"/>
            <w:vMerge w:val="continue"/>
            <w:tcBorders>
              <w:top w:val="nil"/>
            </w:tcBorders>
            <w:vAlign w:val="top"/>
          </w:tcPr>
          <w:p w14:paraId="205B25F6">
            <w:pPr>
              <w:rPr>
                <w:rFonts w:ascii="Arial"/>
                <w:sz w:val="21"/>
              </w:rPr>
            </w:pPr>
          </w:p>
        </w:tc>
        <w:tc>
          <w:tcPr>
            <w:tcW w:w="1073" w:type="pct"/>
            <w:vMerge w:val="continue"/>
            <w:tcBorders>
              <w:top w:val="nil"/>
            </w:tcBorders>
            <w:vAlign w:val="top"/>
          </w:tcPr>
          <w:p w14:paraId="18FD66D3">
            <w:pPr>
              <w:rPr>
                <w:rFonts w:ascii="Arial"/>
                <w:sz w:val="21"/>
              </w:rPr>
            </w:pPr>
          </w:p>
        </w:tc>
        <w:tc>
          <w:tcPr>
            <w:tcW w:w="514" w:type="pct"/>
            <w:vMerge w:val="continue"/>
            <w:tcBorders>
              <w:top w:val="nil"/>
            </w:tcBorders>
            <w:vAlign w:val="top"/>
          </w:tcPr>
          <w:p w14:paraId="1A21D734">
            <w:pPr>
              <w:rPr>
                <w:rFonts w:ascii="Arial"/>
                <w:sz w:val="21"/>
              </w:rPr>
            </w:pPr>
          </w:p>
        </w:tc>
        <w:tc>
          <w:tcPr>
            <w:tcW w:w="214" w:type="pct"/>
            <w:textDirection w:val="tbRlV"/>
            <w:vAlign w:val="top"/>
          </w:tcPr>
          <w:p w14:paraId="2A3F9EAA">
            <w:pPr>
              <w:pStyle w:val="80"/>
              <w:spacing w:before="87" w:line="209" w:lineRule="auto"/>
              <w:ind w:left="27"/>
            </w:pPr>
            <w:r>
              <w:rPr>
                <w:spacing w:val="40"/>
              </w:rPr>
              <w:t>工程技术</w:t>
            </w:r>
          </w:p>
        </w:tc>
        <w:tc>
          <w:tcPr>
            <w:tcW w:w="172" w:type="pct"/>
            <w:textDirection w:val="tbRlV"/>
            <w:vAlign w:val="top"/>
          </w:tcPr>
          <w:p w14:paraId="5CA3C5D9">
            <w:pPr>
              <w:pStyle w:val="80"/>
              <w:spacing w:before="121" w:line="209" w:lineRule="auto"/>
              <w:ind w:left="27"/>
            </w:pPr>
            <w:r>
              <w:rPr>
                <w:spacing w:val="40"/>
              </w:rPr>
              <w:t>管理措施</w:t>
            </w:r>
          </w:p>
        </w:tc>
        <w:tc>
          <w:tcPr>
            <w:tcW w:w="217" w:type="pct"/>
            <w:textDirection w:val="tbRlV"/>
            <w:vAlign w:val="top"/>
          </w:tcPr>
          <w:p w14:paraId="3C3F377A">
            <w:pPr>
              <w:pStyle w:val="80"/>
              <w:spacing w:before="195" w:line="207" w:lineRule="auto"/>
              <w:ind w:left="27"/>
            </w:pPr>
            <w:r>
              <w:rPr>
                <w:spacing w:val="40"/>
              </w:rPr>
              <w:t>培训教育</w:t>
            </w:r>
          </w:p>
        </w:tc>
        <w:tc>
          <w:tcPr>
            <w:tcW w:w="172" w:type="pct"/>
            <w:textDirection w:val="tbRlV"/>
            <w:vAlign w:val="top"/>
          </w:tcPr>
          <w:p w14:paraId="334D1F5A">
            <w:pPr>
              <w:pStyle w:val="80"/>
              <w:spacing w:before="122" w:line="208" w:lineRule="auto"/>
              <w:ind w:left="27"/>
            </w:pPr>
            <w:r>
              <w:rPr>
                <w:spacing w:val="40"/>
              </w:rPr>
              <w:t>个体防护</w:t>
            </w:r>
          </w:p>
        </w:tc>
        <w:tc>
          <w:tcPr>
            <w:tcW w:w="174" w:type="pct"/>
            <w:textDirection w:val="tbRlV"/>
            <w:vAlign w:val="top"/>
          </w:tcPr>
          <w:p w14:paraId="3B979A3B">
            <w:pPr>
              <w:pStyle w:val="80"/>
              <w:spacing w:before="120" w:line="211" w:lineRule="auto"/>
              <w:ind w:left="27"/>
            </w:pPr>
            <w:r>
              <w:rPr>
                <w:spacing w:val="40"/>
              </w:rPr>
              <w:t>应急处置</w:t>
            </w:r>
          </w:p>
        </w:tc>
        <w:tc>
          <w:tcPr>
            <w:tcW w:w="109" w:type="pct"/>
            <w:vMerge w:val="continue"/>
            <w:tcBorders>
              <w:top w:val="nil"/>
            </w:tcBorders>
            <w:vAlign w:val="top"/>
          </w:tcPr>
          <w:p w14:paraId="54A4EEE2">
            <w:pPr>
              <w:rPr>
                <w:rFonts w:ascii="Arial"/>
                <w:sz w:val="21"/>
              </w:rPr>
            </w:pPr>
          </w:p>
        </w:tc>
        <w:tc>
          <w:tcPr>
            <w:tcW w:w="108" w:type="pct"/>
            <w:vMerge w:val="continue"/>
            <w:tcBorders>
              <w:top w:val="nil"/>
            </w:tcBorders>
            <w:vAlign w:val="top"/>
          </w:tcPr>
          <w:p w14:paraId="69526ED7">
            <w:pPr>
              <w:rPr>
                <w:rFonts w:ascii="Arial"/>
                <w:sz w:val="21"/>
              </w:rPr>
            </w:pPr>
          </w:p>
        </w:tc>
        <w:tc>
          <w:tcPr>
            <w:tcW w:w="109" w:type="pct"/>
            <w:vMerge w:val="continue"/>
            <w:tcBorders>
              <w:top w:val="nil"/>
            </w:tcBorders>
            <w:vAlign w:val="top"/>
          </w:tcPr>
          <w:p w14:paraId="0DE9AE20">
            <w:pPr>
              <w:rPr>
                <w:rFonts w:ascii="Arial"/>
                <w:sz w:val="21"/>
              </w:rPr>
            </w:pPr>
          </w:p>
        </w:tc>
        <w:tc>
          <w:tcPr>
            <w:tcW w:w="128" w:type="pct"/>
            <w:vMerge w:val="continue"/>
            <w:tcBorders>
              <w:top w:val="nil"/>
            </w:tcBorders>
            <w:vAlign w:val="top"/>
          </w:tcPr>
          <w:p w14:paraId="3DF2CBAD">
            <w:pPr>
              <w:rPr>
                <w:rFonts w:ascii="Arial"/>
                <w:sz w:val="21"/>
              </w:rPr>
            </w:pPr>
          </w:p>
        </w:tc>
        <w:tc>
          <w:tcPr>
            <w:tcW w:w="235" w:type="pct"/>
            <w:vMerge w:val="continue"/>
            <w:tcBorders>
              <w:top w:val="nil"/>
            </w:tcBorders>
            <w:textDirection w:val="tbRlV"/>
            <w:vAlign w:val="top"/>
          </w:tcPr>
          <w:p w14:paraId="69EC6B01">
            <w:pPr>
              <w:rPr>
                <w:rFonts w:ascii="Arial"/>
                <w:sz w:val="21"/>
              </w:rPr>
            </w:pPr>
          </w:p>
        </w:tc>
        <w:tc>
          <w:tcPr>
            <w:tcW w:w="270" w:type="pct"/>
            <w:vMerge w:val="continue"/>
            <w:tcBorders>
              <w:top w:val="nil"/>
            </w:tcBorders>
            <w:textDirection w:val="tbRlV"/>
            <w:vAlign w:val="top"/>
          </w:tcPr>
          <w:p w14:paraId="5D131F6D">
            <w:pPr>
              <w:rPr>
                <w:rFonts w:ascii="Arial"/>
                <w:sz w:val="21"/>
              </w:rPr>
            </w:pPr>
          </w:p>
        </w:tc>
        <w:tc>
          <w:tcPr>
            <w:tcW w:w="581" w:type="pct"/>
            <w:vMerge w:val="continue"/>
            <w:tcBorders>
              <w:top w:val="nil"/>
            </w:tcBorders>
            <w:vAlign w:val="top"/>
          </w:tcPr>
          <w:p w14:paraId="17A9EC54">
            <w:pPr>
              <w:rPr>
                <w:rFonts w:ascii="Arial"/>
                <w:sz w:val="21"/>
              </w:rPr>
            </w:pPr>
          </w:p>
        </w:tc>
        <w:tc>
          <w:tcPr>
            <w:tcW w:w="255" w:type="pct"/>
            <w:vMerge w:val="continue"/>
            <w:tcBorders>
              <w:top w:val="nil"/>
            </w:tcBorders>
            <w:vAlign w:val="top"/>
          </w:tcPr>
          <w:p w14:paraId="2EE8029E">
            <w:pPr>
              <w:rPr>
                <w:rFonts w:ascii="Arial"/>
                <w:sz w:val="21"/>
              </w:rPr>
            </w:pPr>
          </w:p>
        </w:tc>
      </w:tr>
      <w:tr w14:paraId="216BD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69" w:type="pct"/>
            <w:vAlign w:val="top"/>
          </w:tcPr>
          <w:p w14:paraId="63EB7783">
            <w:pPr>
              <w:rPr>
                <w:rFonts w:ascii="Arial"/>
                <w:sz w:val="21"/>
              </w:rPr>
            </w:pPr>
          </w:p>
        </w:tc>
        <w:tc>
          <w:tcPr>
            <w:tcW w:w="489" w:type="pct"/>
            <w:vAlign w:val="top"/>
          </w:tcPr>
          <w:p w14:paraId="1C0279AD">
            <w:pPr>
              <w:rPr>
                <w:rFonts w:ascii="Arial"/>
                <w:sz w:val="21"/>
              </w:rPr>
            </w:pPr>
          </w:p>
        </w:tc>
        <w:tc>
          <w:tcPr>
            <w:tcW w:w="1073" w:type="pct"/>
            <w:vAlign w:val="top"/>
          </w:tcPr>
          <w:p w14:paraId="5A2FC546">
            <w:pPr>
              <w:rPr>
                <w:rFonts w:ascii="Arial"/>
                <w:sz w:val="21"/>
              </w:rPr>
            </w:pPr>
          </w:p>
        </w:tc>
        <w:tc>
          <w:tcPr>
            <w:tcW w:w="514" w:type="pct"/>
            <w:vAlign w:val="top"/>
          </w:tcPr>
          <w:p w14:paraId="5DED6D29">
            <w:pPr>
              <w:rPr>
                <w:rFonts w:ascii="Arial"/>
                <w:sz w:val="21"/>
              </w:rPr>
            </w:pPr>
          </w:p>
        </w:tc>
        <w:tc>
          <w:tcPr>
            <w:tcW w:w="214" w:type="pct"/>
            <w:vAlign w:val="top"/>
          </w:tcPr>
          <w:p w14:paraId="63E86778">
            <w:pPr>
              <w:rPr>
                <w:rFonts w:ascii="Arial"/>
                <w:sz w:val="21"/>
              </w:rPr>
            </w:pPr>
          </w:p>
        </w:tc>
        <w:tc>
          <w:tcPr>
            <w:tcW w:w="172" w:type="pct"/>
            <w:vAlign w:val="top"/>
          </w:tcPr>
          <w:p w14:paraId="17DF51E6">
            <w:pPr>
              <w:rPr>
                <w:rFonts w:ascii="Arial"/>
                <w:sz w:val="21"/>
              </w:rPr>
            </w:pPr>
          </w:p>
        </w:tc>
        <w:tc>
          <w:tcPr>
            <w:tcW w:w="217" w:type="pct"/>
            <w:vAlign w:val="top"/>
          </w:tcPr>
          <w:p w14:paraId="1DB1345F">
            <w:pPr>
              <w:rPr>
                <w:rFonts w:ascii="Arial"/>
                <w:sz w:val="21"/>
              </w:rPr>
            </w:pPr>
          </w:p>
        </w:tc>
        <w:tc>
          <w:tcPr>
            <w:tcW w:w="172" w:type="pct"/>
            <w:vAlign w:val="top"/>
          </w:tcPr>
          <w:p w14:paraId="0368E5C5">
            <w:pPr>
              <w:rPr>
                <w:rFonts w:ascii="Arial"/>
                <w:sz w:val="21"/>
              </w:rPr>
            </w:pPr>
          </w:p>
        </w:tc>
        <w:tc>
          <w:tcPr>
            <w:tcW w:w="174" w:type="pct"/>
            <w:vAlign w:val="top"/>
          </w:tcPr>
          <w:p w14:paraId="160AA06C">
            <w:pPr>
              <w:rPr>
                <w:rFonts w:ascii="Arial"/>
                <w:sz w:val="21"/>
              </w:rPr>
            </w:pPr>
          </w:p>
        </w:tc>
        <w:tc>
          <w:tcPr>
            <w:tcW w:w="109" w:type="pct"/>
            <w:vAlign w:val="top"/>
          </w:tcPr>
          <w:p w14:paraId="34AA050B">
            <w:pPr>
              <w:rPr>
                <w:rFonts w:ascii="Arial"/>
                <w:sz w:val="21"/>
              </w:rPr>
            </w:pPr>
          </w:p>
        </w:tc>
        <w:tc>
          <w:tcPr>
            <w:tcW w:w="108" w:type="pct"/>
            <w:vAlign w:val="top"/>
          </w:tcPr>
          <w:p w14:paraId="5769E5F5">
            <w:pPr>
              <w:rPr>
                <w:rFonts w:ascii="Arial"/>
                <w:sz w:val="21"/>
              </w:rPr>
            </w:pPr>
          </w:p>
        </w:tc>
        <w:tc>
          <w:tcPr>
            <w:tcW w:w="109" w:type="pct"/>
            <w:vAlign w:val="top"/>
          </w:tcPr>
          <w:p w14:paraId="061606D2">
            <w:pPr>
              <w:rPr>
                <w:rFonts w:ascii="Arial"/>
                <w:sz w:val="21"/>
              </w:rPr>
            </w:pPr>
          </w:p>
        </w:tc>
        <w:tc>
          <w:tcPr>
            <w:tcW w:w="128" w:type="pct"/>
            <w:vAlign w:val="top"/>
          </w:tcPr>
          <w:p w14:paraId="458CCB64">
            <w:pPr>
              <w:rPr>
                <w:rFonts w:ascii="Arial"/>
                <w:sz w:val="21"/>
              </w:rPr>
            </w:pPr>
          </w:p>
        </w:tc>
        <w:tc>
          <w:tcPr>
            <w:tcW w:w="235" w:type="pct"/>
            <w:vAlign w:val="top"/>
          </w:tcPr>
          <w:p w14:paraId="60679D46">
            <w:pPr>
              <w:rPr>
                <w:rFonts w:ascii="Arial"/>
                <w:sz w:val="21"/>
              </w:rPr>
            </w:pPr>
          </w:p>
        </w:tc>
        <w:tc>
          <w:tcPr>
            <w:tcW w:w="270" w:type="pct"/>
            <w:vAlign w:val="top"/>
          </w:tcPr>
          <w:p w14:paraId="58347BB9">
            <w:pPr>
              <w:rPr>
                <w:rFonts w:ascii="Arial"/>
                <w:sz w:val="21"/>
              </w:rPr>
            </w:pPr>
          </w:p>
        </w:tc>
        <w:tc>
          <w:tcPr>
            <w:tcW w:w="581" w:type="pct"/>
            <w:vAlign w:val="top"/>
          </w:tcPr>
          <w:p w14:paraId="596CFDE6">
            <w:pPr>
              <w:rPr>
                <w:rFonts w:ascii="Arial"/>
                <w:sz w:val="21"/>
              </w:rPr>
            </w:pPr>
          </w:p>
        </w:tc>
        <w:tc>
          <w:tcPr>
            <w:tcW w:w="255" w:type="pct"/>
            <w:vAlign w:val="top"/>
          </w:tcPr>
          <w:p w14:paraId="73D8EB60">
            <w:pPr>
              <w:rPr>
                <w:rFonts w:ascii="Arial"/>
                <w:sz w:val="21"/>
              </w:rPr>
            </w:pPr>
          </w:p>
        </w:tc>
      </w:tr>
    </w:tbl>
    <w:p w14:paraId="24F2F01D">
      <w:pPr>
        <w:spacing w:before="260" w:line="220" w:lineRule="auto"/>
        <w:ind w:left="779"/>
        <w:rPr>
          <w:rFonts w:ascii="宋体" w:hAnsi="宋体" w:eastAsia="宋体" w:cs="宋体"/>
          <w:sz w:val="18"/>
          <w:szCs w:val="18"/>
        </w:rPr>
      </w:pPr>
      <w:r>
        <w:rPr>
          <w:rFonts w:ascii="宋体" w:hAnsi="宋体" w:eastAsia="宋体" w:cs="宋体"/>
          <w:spacing w:val="-9"/>
          <w:sz w:val="18"/>
          <w:szCs w:val="18"/>
        </w:rPr>
        <w:t>分析人：</w:t>
      </w:r>
      <w:r>
        <w:rPr>
          <w:rFonts w:ascii="宋体" w:hAnsi="宋体" w:eastAsia="宋体" w:cs="宋体"/>
          <w:spacing w:val="6"/>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审核人：</w:t>
      </w:r>
      <w:r>
        <w:rPr>
          <w:rFonts w:ascii="宋体" w:hAnsi="宋体" w:eastAsia="宋体" w:cs="宋体"/>
          <w:spacing w:val="4"/>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审定人：</w:t>
      </w:r>
      <w:r>
        <w:rPr>
          <w:rFonts w:ascii="宋体" w:hAnsi="宋体" w:eastAsia="宋体" w:cs="宋体"/>
          <w:spacing w:val="4"/>
          <w:sz w:val="18"/>
          <w:szCs w:val="18"/>
        </w:rPr>
        <w:t xml:space="preserve">        </w:t>
      </w:r>
      <w:r>
        <w:rPr>
          <w:rFonts w:ascii="宋体" w:hAnsi="宋体" w:eastAsia="宋体" w:cs="宋体"/>
          <w:spacing w:val="-9"/>
          <w:sz w:val="18"/>
          <w:szCs w:val="18"/>
        </w:rPr>
        <w:t>日期：</w:t>
      </w:r>
    </w:p>
    <w:p w14:paraId="2AA07650">
      <w:pPr>
        <w:spacing w:before="17" w:line="233" w:lineRule="auto"/>
        <w:ind w:left="327" w:right="316" w:firstLine="360"/>
        <w:jc w:val="both"/>
      </w:pPr>
      <w:r>
        <w:rPr>
          <w:rFonts w:ascii="宋体" w:hAnsi="宋体" w:eastAsia="宋体" w:cs="宋体"/>
          <w:spacing w:val="2"/>
          <w:sz w:val="18"/>
          <w:szCs w:val="18"/>
        </w:rPr>
        <w:t>填表说明：1、审核人为</w:t>
      </w:r>
      <w:r>
        <w:rPr>
          <w:rFonts w:hint="eastAsia" w:ascii="宋体" w:hAnsi="宋体" w:eastAsia="宋体" w:cs="宋体"/>
          <w:spacing w:val="2"/>
          <w:sz w:val="18"/>
          <w:szCs w:val="18"/>
          <w:lang w:val="en-US" w:eastAsia="zh-CN"/>
        </w:rPr>
        <w:t>监测机构安全员</w:t>
      </w:r>
      <w:r>
        <w:rPr>
          <w:rFonts w:ascii="宋体" w:hAnsi="宋体" w:eastAsia="宋体" w:cs="宋体"/>
          <w:spacing w:val="2"/>
          <w:sz w:val="18"/>
          <w:szCs w:val="18"/>
        </w:rPr>
        <w:t>，审</w:t>
      </w:r>
      <w:r>
        <w:rPr>
          <w:rFonts w:ascii="宋体" w:hAnsi="宋体" w:eastAsia="宋体" w:cs="宋体"/>
          <w:spacing w:val="1"/>
          <w:sz w:val="18"/>
          <w:szCs w:val="18"/>
        </w:rPr>
        <w:t>定人为</w:t>
      </w:r>
      <w:r>
        <w:rPr>
          <w:rFonts w:hint="eastAsia" w:ascii="宋体" w:hAnsi="宋体" w:eastAsia="宋体" w:cs="宋体"/>
          <w:spacing w:val="1"/>
          <w:sz w:val="18"/>
          <w:szCs w:val="18"/>
          <w:lang w:val="en-US" w:eastAsia="zh-CN"/>
        </w:rPr>
        <w:t>安全责任人</w:t>
      </w:r>
      <w:r>
        <w:rPr>
          <w:rFonts w:ascii="宋体" w:hAnsi="宋体" w:eastAsia="宋体" w:cs="宋体"/>
          <w:spacing w:val="1"/>
          <w:sz w:val="18"/>
          <w:szCs w:val="18"/>
        </w:rPr>
        <w:t>。2、评价级别是指运用风险评价方法，确定</w:t>
      </w:r>
      <w:r>
        <w:rPr>
          <w:rFonts w:ascii="宋体" w:hAnsi="宋体" w:eastAsia="宋体" w:cs="宋体"/>
          <w:sz w:val="18"/>
          <w:szCs w:val="18"/>
        </w:rPr>
        <w:t>的风险等级。3、管控级别是指按照风险等级规定的对应原则，划分的</w:t>
      </w:r>
      <w:r>
        <w:rPr>
          <w:rFonts w:ascii="宋体" w:hAnsi="宋体" w:eastAsia="宋体" w:cs="宋体"/>
          <w:spacing w:val="-1"/>
          <w:sz w:val="18"/>
          <w:szCs w:val="18"/>
        </w:rPr>
        <w:t>重大风险、较大风险、一般风险和低风险，分别用“红、橙、黄、蓝”标识。</w:t>
      </w:r>
    </w:p>
    <w:p w14:paraId="687243A0">
      <w:pPr>
        <w:pStyle w:val="79"/>
        <w:numPr>
          <w:ilvl w:val="0"/>
          <w:numId w:val="0"/>
        </w:numPr>
        <w:tabs>
          <w:tab w:val="left" w:pos="180"/>
        </w:tabs>
        <w:spacing w:before="156" w:after="156"/>
        <w:ind w:left="3114"/>
        <w:jc w:val="both"/>
        <w:rPr>
          <w:rFonts w:hint="eastAsia" w:ascii="黑体" w:hAnsi="Times New Roman" w:eastAsia="黑体" w:cs="Times New Roman"/>
          <w:sz w:val="21"/>
          <w:szCs w:val="20"/>
        </w:rPr>
      </w:pPr>
      <w:r>
        <w:rPr>
          <w:rFonts w:hint="eastAsia" w:ascii="黑体" w:hAnsi="Times New Roman" w:eastAsia="黑体" w:cs="Times New Roman"/>
          <w:spacing w:val="0"/>
          <w:sz w:val="21"/>
          <w:szCs w:val="20"/>
        </w:rPr>
        <w:t xml:space="preserve">表 </w:t>
      </w:r>
      <w:r>
        <w:rPr>
          <w:rFonts w:hint="eastAsia" w:ascii="黑体" w:hAnsi="Times New Roman" w:eastAsia="黑体" w:cs="Times New Roman"/>
          <w:spacing w:val="0"/>
          <w:sz w:val="21"/>
          <w:szCs w:val="20"/>
          <w:lang w:val="en-US" w:eastAsia="zh-CN"/>
        </w:rPr>
        <w:t>A.</w:t>
      </w:r>
      <w:r>
        <w:rPr>
          <w:rFonts w:hint="eastAsia" w:ascii="黑体" w:hAnsi="Times New Roman" w:eastAsia="黑体" w:cs="Times New Roman"/>
          <w:spacing w:val="0"/>
          <w:sz w:val="21"/>
          <w:szCs w:val="20"/>
        </w:rPr>
        <w:t>2 工作危害分析（JHA+LS）评价记录</w:t>
      </w:r>
    </w:p>
    <w:p w14:paraId="5A94C3D5">
      <w:pPr>
        <w:spacing w:before="189" w:line="213" w:lineRule="auto"/>
        <w:rPr>
          <w:rFonts w:ascii="宋体" w:hAnsi="宋体" w:eastAsia="宋体" w:cs="宋体"/>
          <w:sz w:val="18"/>
          <w:szCs w:val="18"/>
        </w:rPr>
      </w:pPr>
      <w:r>
        <w:rPr>
          <w:rFonts w:ascii="宋体" w:hAnsi="宋体" w:eastAsia="宋体" w:cs="宋体"/>
          <w:sz w:val="18"/>
          <w:szCs w:val="18"/>
        </w:rPr>
        <w:t xml:space="preserve">（记录受控号）单位：              岗位：             风险点（作业活动）名称：          </w:t>
      </w:r>
      <w:r>
        <w:rPr>
          <w:rFonts w:ascii="宋体" w:hAnsi="宋体" w:eastAsia="宋体" w:cs="宋体"/>
          <w:spacing w:val="-1"/>
          <w:sz w:val="18"/>
          <w:szCs w:val="18"/>
        </w:rPr>
        <w:t xml:space="preserve">      No：</w:t>
      </w:r>
    </w:p>
    <w:tbl>
      <w:tblPr>
        <w:tblStyle w:val="20"/>
        <w:tblW w:w="504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4"/>
        <w:gridCol w:w="651"/>
        <w:gridCol w:w="2278"/>
        <w:gridCol w:w="929"/>
        <w:gridCol w:w="422"/>
        <w:gridCol w:w="367"/>
        <w:gridCol w:w="497"/>
        <w:gridCol w:w="413"/>
        <w:gridCol w:w="330"/>
        <w:gridCol w:w="231"/>
        <w:gridCol w:w="246"/>
        <w:gridCol w:w="198"/>
        <w:gridCol w:w="419"/>
        <w:gridCol w:w="480"/>
        <w:gridCol w:w="916"/>
        <w:gridCol w:w="389"/>
      </w:tblGrid>
      <w:tr w14:paraId="3F0D0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67" w:type="pct"/>
            <w:vMerge w:val="restart"/>
            <w:tcBorders>
              <w:bottom w:val="nil"/>
            </w:tcBorders>
            <w:textDirection w:val="tbRlV"/>
            <w:vAlign w:val="top"/>
          </w:tcPr>
          <w:p w14:paraId="42772F35">
            <w:pPr>
              <w:pStyle w:val="80"/>
              <w:spacing w:before="26" w:line="210" w:lineRule="auto"/>
              <w:ind w:left="543"/>
            </w:pPr>
            <w:r>
              <w:rPr>
                <w:spacing w:val="26"/>
              </w:rPr>
              <w:t>序号</w:t>
            </w:r>
          </w:p>
        </w:tc>
        <w:tc>
          <w:tcPr>
            <w:tcW w:w="359" w:type="pct"/>
            <w:vMerge w:val="restart"/>
            <w:tcBorders>
              <w:bottom w:val="nil"/>
            </w:tcBorders>
            <w:vAlign w:val="top"/>
          </w:tcPr>
          <w:p w14:paraId="2540C451">
            <w:pPr>
              <w:spacing w:line="241" w:lineRule="auto"/>
              <w:rPr>
                <w:rFonts w:ascii="Arial"/>
                <w:sz w:val="21"/>
              </w:rPr>
            </w:pPr>
          </w:p>
          <w:p w14:paraId="468238DA">
            <w:pPr>
              <w:spacing w:line="241" w:lineRule="auto"/>
              <w:rPr>
                <w:rFonts w:ascii="Arial"/>
                <w:sz w:val="21"/>
              </w:rPr>
            </w:pPr>
          </w:p>
          <w:p w14:paraId="01207163">
            <w:pPr>
              <w:pStyle w:val="80"/>
              <w:spacing w:before="58" w:line="229" w:lineRule="auto"/>
              <w:ind w:left="150" w:right="148" w:hanging="1"/>
            </w:pPr>
            <w:r>
              <w:rPr>
                <w:spacing w:val="-4"/>
              </w:rPr>
              <w:t>作业</w:t>
            </w:r>
            <w:r>
              <w:t xml:space="preserve"> </w:t>
            </w:r>
            <w:r>
              <w:rPr>
                <w:spacing w:val="-5"/>
              </w:rPr>
              <w:t>步骤</w:t>
            </w:r>
          </w:p>
        </w:tc>
        <w:tc>
          <w:tcPr>
            <w:tcW w:w="1255" w:type="pct"/>
            <w:vMerge w:val="restart"/>
            <w:tcBorders>
              <w:bottom w:val="nil"/>
            </w:tcBorders>
            <w:vAlign w:val="top"/>
          </w:tcPr>
          <w:p w14:paraId="7F4F195A">
            <w:pPr>
              <w:spacing w:line="250" w:lineRule="auto"/>
              <w:rPr>
                <w:rFonts w:ascii="Arial"/>
                <w:sz w:val="21"/>
              </w:rPr>
            </w:pPr>
          </w:p>
          <w:p w14:paraId="033AD1CD">
            <w:pPr>
              <w:pStyle w:val="80"/>
              <w:spacing w:before="58" w:line="234" w:lineRule="auto"/>
              <w:ind w:right="114"/>
              <w:jc w:val="both"/>
            </w:pPr>
            <w:r>
              <w:rPr>
                <w:spacing w:val="-2"/>
              </w:rPr>
              <w:t>危险源或潜</w:t>
            </w:r>
            <w:r>
              <w:rPr>
                <w:spacing w:val="-6"/>
              </w:rPr>
              <w:t>在事件（人、</w:t>
            </w:r>
            <w:r>
              <w:rPr>
                <w:spacing w:val="2"/>
              </w:rPr>
              <w:t xml:space="preserve"> </w:t>
            </w:r>
            <w:r>
              <w:rPr>
                <w:spacing w:val="14"/>
              </w:rPr>
              <w:t>物、作业环</w:t>
            </w:r>
            <w:r>
              <w:rPr>
                <w:spacing w:val="12"/>
              </w:rPr>
              <w:t>境、管理）</w:t>
            </w:r>
          </w:p>
        </w:tc>
        <w:tc>
          <w:tcPr>
            <w:tcW w:w="511" w:type="pct"/>
            <w:vMerge w:val="restart"/>
            <w:tcBorders>
              <w:bottom w:val="nil"/>
            </w:tcBorders>
            <w:vAlign w:val="top"/>
          </w:tcPr>
          <w:p w14:paraId="196651BA">
            <w:pPr>
              <w:spacing w:line="241" w:lineRule="auto"/>
              <w:rPr>
                <w:rFonts w:ascii="Arial"/>
                <w:sz w:val="21"/>
              </w:rPr>
            </w:pPr>
          </w:p>
          <w:p w14:paraId="3C01D2D6">
            <w:pPr>
              <w:spacing w:line="241" w:lineRule="auto"/>
              <w:rPr>
                <w:rFonts w:ascii="Arial"/>
                <w:sz w:val="21"/>
              </w:rPr>
            </w:pPr>
          </w:p>
          <w:p w14:paraId="3A5B6F23">
            <w:pPr>
              <w:pStyle w:val="80"/>
              <w:spacing w:before="59" w:line="229" w:lineRule="auto"/>
              <w:ind w:left="176" w:right="176"/>
            </w:pPr>
            <w:r>
              <w:rPr>
                <w:spacing w:val="-5"/>
              </w:rPr>
              <w:t>主要</w:t>
            </w:r>
            <w:r>
              <w:t xml:space="preserve"> </w:t>
            </w:r>
            <w:r>
              <w:rPr>
                <w:spacing w:val="-5"/>
              </w:rPr>
              <w:t>后果</w:t>
            </w:r>
          </w:p>
        </w:tc>
        <w:tc>
          <w:tcPr>
            <w:tcW w:w="1119" w:type="pct"/>
            <w:gridSpan w:val="5"/>
            <w:vAlign w:val="top"/>
          </w:tcPr>
          <w:p w14:paraId="1B378216">
            <w:pPr>
              <w:pStyle w:val="80"/>
              <w:spacing w:before="188" w:line="220" w:lineRule="auto"/>
              <w:ind w:left="667"/>
            </w:pPr>
            <w:r>
              <w:rPr>
                <w:spacing w:val="-2"/>
              </w:rPr>
              <w:t>现有控制措施</w:t>
            </w:r>
          </w:p>
        </w:tc>
        <w:tc>
          <w:tcPr>
            <w:tcW w:w="127" w:type="pct"/>
            <w:vMerge w:val="restart"/>
            <w:tcBorders>
              <w:bottom w:val="nil"/>
            </w:tcBorders>
            <w:vAlign w:val="top"/>
          </w:tcPr>
          <w:p w14:paraId="7B4983CB">
            <w:pPr>
              <w:spacing w:line="315" w:lineRule="auto"/>
              <w:rPr>
                <w:rFonts w:ascii="Arial"/>
                <w:sz w:val="21"/>
              </w:rPr>
            </w:pPr>
          </w:p>
          <w:p w14:paraId="2EDBE394">
            <w:pPr>
              <w:spacing w:line="315" w:lineRule="auto"/>
              <w:rPr>
                <w:rFonts w:ascii="Arial"/>
                <w:sz w:val="21"/>
              </w:rPr>
            </w:pPr>
          </w:p>
          <w:p w14:paraId="2A0644C9">
            <w:pPr>
              <w:pStyle w:val="80"/>
              <w:spacing w:before="58" w:line="180" w:lineRule="auto"/>
              <w:ind w:left="109"/>
            </w:pPr>
            <w:r>
              <w:t>L</w:t>
            </w:r>
          </w:p>
        </w:tc>
        <w:tc>
          <w:tcPr>
            <w:tcW w:w="135" w:type="pct"/>
            <w:vMerge w:val="restart"/>
            <w:tcBorders>
              <w:bottom w:val="nil"/>
            </w:tcBorders>
            <w:vAlign w:val="top"/>
          </w:tcPr>
          <w:p w14:paraId="359941D7">
            <w:pPr>
              <w:spacing w:line="314" w:lineRule="auto"/>
              <w:rPr>
                <w:rFonts w:ascii="Arial"/>
                <w:sz w:val="21"/>
              </w:rPr>
            </w:pPr>
          </w:p>
          <w:p w14:paraId="6D16321C">
            <w:pPr>
              <w:spacing w:line="315" w:lineRule="auto"/>
              <w:rPr>
                <w:rFonts w:ascii="Arial"/>
                <w:sz w:val="21"/>
              </w:rPr>
            </w:pPr>
          </w:p>
          <w:p w14:paraId="1C968CA1">
            <w:pPr>
              <w:pStyle w:val="80"/>
              <w:spacing w:before="58" w:line="181" w:lineRule="auto"/>
              <w:ind w:left="110"/>
            </w:pPr>
            <w:r>
              <w:t>S</w:t>
            </w:r>
          </w:p>
        </w:tc>
        <w:tc>
          <w:tcPr>
            <w:tcW w:w="108" w:type="pct"/>
            <w:vMerge w:val="restart"/>
            <w:tcBorders>
              <w:bottom w:val="nil"/>
            </w:tcBorders>
            <w:vAlign w:val="top"/>
          </w:tcPr>
          <w:p w14:paraId="06ADDC06">
            <w:pPr>
              <w:spacing w:line="315" w:lineRule="auto"/>
              <w:rPr>
                <w:rFonts w:ascii="Arial"/>
                <w:sz w:val="21"/>
              </w:rPr>
            </w:pPr>
          </w:p>
          <w:p w14:paraId="6105A7EC">
            <w:pPr>
              <w:spacing w:line="315" w:lineRule="auto"/>
              <w:rPr>
                <w:rFonts w:ascii="Arial"/>
                <w:sz w:val="21"/>
              </w:rPr>
            </w:pPr>
          </w:p>
          <w:p w14:paraId="7B5C0196">
            <w:pPr>
              <w:pStyle w:val="80"/>
              <w:spacing w:before="58" w:line="180" w:lineRule="auto"/>
              <w:ind w:left="108"/>
            </w:pPr>
            <w:r>
              <w:t>R</w:t>
            </w:r>
          </w:p>
        </w:tc>
        <w:tc>
          <w:tcPr>
            <w:tcW w:w="231" w:type="pct"/>
            <w:vMerge w:val="restart"/>
            <w:tcBorders>
              <w:bottom w:val="nil"/>
            </w:tcBorders>
            <w:textDirection w:val="tbRlV"/>
            <w:vAlign w:val="top"/>
          </w:tcPr>
          <w:p w14:paraId="135D601C">
            <w:pPr>
              <w:pStyle w:val="80"/>
              <w:spacing w:before="191" w:line="207" w:lineRule="auto"/>
              <w:ind w:left="310"/>
            </w:pPr>
            <w:r>
              <w:rPr>
                <w:spacing w:val="39"/>
              </w:rPr>
              <w:t>评价级别</w:t>
            </w:r>
          </w:p>
        </w:tc>
        <w:tc>
          <w:tcPr>
            <w:tcW w:w="264" w:type="pct"/>
            <w:vMerge w:val="restart"/>
            <w:tcBorders>
              <w:bottom w:val="nil"/>
            </w:tcBorders>
            <w:textDirection w:val="tbRlV"/>
            <w:vAlign w:val="top"/>
          </w:tcPr>
          <w:p w14:paraId="7E507BD6">
            <w:pPr>
              <w:pStyle w:val="80"/>
              <w:spacing w:before="190" w:line="209" w:lineRule="auto"/>
              <w:ind w:left="310"/>
            </w:pPr>
            <w:r>
              <w:rPr>
                <w:spacing w:val="39"/>
              </w:rPr>
              <w:t>管控级别</w:t>
            </w:r>
          </w:p>
        </w:tc>
        <w:tc>
          <w:tcPr>
            <w:tcW w:w="504" w:type="pct"/>
            <w:vMerge w:val="restart"/>
            <w:tcBorders>
              <w:bottom w:val="nil"/>
            </w:tcBorders>
            <w:vAlign w:val="top"/>
          </w:tcPr>
          <w:p w14:paraId="227AE9F5">
            <w:pPr>
              <w:spacing w:line="299" w:lineRule="auto"/>
              <w:rPr>
                <w:rFonts w:ascii="Arial"/>
                <w:sz w:val="21"/>
              </w:rPr>
            </w:pPr>
          </w:p>
          <w:p w14:paraId="28E4A76C">
            <w:pPr>
              <w:spacing w:line="299" w:lineRule="auto"/>
              <w:rPr>
                <w:rFonts w:ascii="Arial"/>
                <w:sz w:val="21"/>
              </w:rPr>
            </w:pPr>
          </w:p>
          <w:p w14:paraId="45C08310">
            <w:pPr>
              <w:pStyle w:val="80"/>
              <w:spacing w:before="58" w:line="220" w:lineRule="auto"/>
              <w:ind w:left="117"/>
            </w:pPr>
            <w:r>
              <w:rPr>
                <w:spacing w:val="-1"/>
              </w:rPr>
              <w:t>建议新增（改进）措施</w:t>
            </w:r>
          </w:p>
        </w:tc>
        <w:tc>
          <w:tcPr>
            <w:tcW w:w="214" w:type="pct"/>
            <w:vMerge w:val="restart"/>
            <w:tcBorders>
              <w:bottom w:val="nil"/>
            </w:tcBorders>
            <w:vAlign w:val="top"/>
          </w:tcPr>
          <w:p w14:paraId="50B966EE">
            <w:pPr>
              <w:spacing w:line="299" w:lineRule="auto"/>
              <w:rPr>
                <w:rFonts w:ascii="Arial"/>
                <w:sz w:val="21"/>
              </w:rPr>
            </w:pPr>
          </w:p>
          <w:p w14:paraId="7552E9A7">
            <w:pPr>
              <w:spacing w:line="299" w:lineRule="auto"/>
              <w:rPr>
                <w:rFonts w:ascii="Arial"/>
                <w:sz w:val="21"/>
              </w:rPr>
            </w:pPr>
          </w:p>
          <w:p w14:paraId="07D53C52">
            <w:pPr>
              <w:pStyle w:val="80"/>
              <w:spacing w:before="59" w:line="221" w:lineRule="auto"/>
              <w:ind w:left="133"/>
            </w:pPr>
            <w:r>
              <w:rPr>
                <w:spacing w:val="-3"/>
              </w:rPr>
              <w:t>备注</w:t>
            </w:r>
          </w:p>
        </w:tc>
      </w:tr>
      <w:tr w14:paraId="14254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167" w:type="pct"/>
            <w:vMerge w:val="continue"/>
            <w:tcBorders>
              <w:top w:val="nil"/>
            </w:tcBorders>
            <w:textDirection w:val="tbRlV"/>
            <w:vAlign w:val="top"/>
          </w:tcPr>
          <w:p w14:paraId="224276D7">
            <w:pPr>
              <w:rPr>
                <w:rFonts w:ascii="Arial"/>
                <w:sz w:val="21"/>
              </w:rPr>
            </w:pPr>
          </w:p>
        </w:tc>
        <w:tc>
          <w:tcPr>
            <w:tcW w:w="359" w:type="pct"/>
            <w:vMerge w:val="continue"/>
            <w:tcBorders>
              <w:top w:val="nil"/>
            </w:tcBorders>
            <w:vAlign w:val="top"/>
          </w:tcPr>
          <w:p w14:paraId="689FA96E">
            <w:pPr>
              <w:rPr>
                <w:rFonts w:ascii="Arial"/>
                <w:sz w:val="21"/>
              </w:rPr>
            </w:pPr>
          </w:p>
        </w:tc>
        <w:tc>
          <w:tcPr>
            <w:tcW w:w="1255" w:type="pct"/>
            <w:vMerge w:val="continue"/>
            <w:tcBorders>
              <w:top w:val="nil"/>
            </w:tcBorders>
            <w:vAlign w:val="top"/>
          </w:tcPr>
          <w:p w14:paraId="392BE168">
            <w:pPr>
              <w:rPr>
                <w:rFonts w:ascii="Arial"/>
                <w:sz w:val="21"/>
              </w:rPr>
            </w:pPr>
          </w:p>
        </w:tc>
        <w:tc>
          <w:tcPr>
            <w:tcW w:w="511" w:type="pct"/>
            <w:vMerge w:val="continue"/>
            <w:tcBorders>
              <w:top w:val="nil"/>
            </w:tcBorders>
            <w:vAlign w:val="top"/>
          </w:tcPr>
          <w:p w14:paraId="5C57BEF3">
            <w:pPr>
              <w:rPr>
                <w:rFonts w:ascii="Arial"/>
                <w:sz w:val="21"/>
              </w:rPr>
            </w:pPr>
          </w:p>
        </w:tc>
        <w:tc>
          <w:tcPr>
            <w:tcW w:w="232" w:type="pct"/>
            <w:textDirection w:val="tbRlV"/>
            <w:vAlign w:val="top"/>
          </w:tcPr>
          <w:p w14:paraId="4BD5B860">
            <w:pPr>
              <w:pStyle w:val="80"/>
              <w:spacing w:before="194" w:line="209" w:lineRule="auto"/>
              <w:ind w:left="27"/>
            </w:pPr>
            <w:r>
              <w:rPr>
                <w:spacing w:val="40"/>
              </w:rPr>
              <w:t>工程技术</w:t>
            </w:r>
          </w:p>
        </w:tc>
        <w:tc>
          <w:tcPr>
            <w:tcW w:w="202" w:type="pct"/>
            <w:textDirection w:val="tbRlV"/>
            <w:vAlign w:val="top"/>
          </w:tcPr>
          <w:p w14:paraId="643EF95A">
            <w:pPr>
              <w:pStyle w:val="80"/>
              <w:spacing w:before="120" w:line="209" w:lineRule="auto"/>
              <w:ind w:left="27"/>
            </w:pPr>
            <w:r>
              <w:rPr>
                <w:spacing w:val="40"/>
              </w:rPr>
              <w:t>管理措施</w:t>
            </w:r>
          </w:p>
        </w:tc>
        <w:tc>
          <w:tcPr>
            <w:tcW w:w="274" w:type="pct"/>
            <w:textDirection w:val="tbRlV"/>
            <w:vAlign w:val="top"/>
          </w:tcPr>
          <w:p w14:paraId="5389978D">
            <w:pPr>
              <w:pStyle w:val="80"/>
              <w:spacing w:before="192" w:line="207" w:lineRule="auto"/>
              <w:ind w:left="27"/>
            </w:pPr>
            <w:r>
              <w:rPr>
                <w:spacing w:val="40"/>
              </w:rPr>
              <w:t>培训教育</w:t>
            </w:r>
          </w:p>
        </w:tc>
        <w:tc>
          <w:tcPr>
            <w:tcW w:w="228" w:type="pct"/>
            <w:textDirection w:val="tbRlV"/>
            <w:vAlign w:val="top"/>
          </w:tcPr>
          <w:p w14:paraId="466D8CF8">
            <w:pPr>
              <w:pStyle w:val="80"/>
              <w:spacing w:before="120" w:line="208" w:lineRule="auto"/>
              <w:ind w:left="27"/>
            </w:pPr>
            <w:r>
              <w:rPr>
                <w:spacing w:val="40"/>
              </w:rPr>
              <w:t>个体防护</w:t>
            </w:r>
          </w:p>
        </w:tc>
        <w:tc>
          <w:tcPr>
            <w:tcW w:w="181" w:type="pct"/>
            <w:textDirection w:val="tbRlV"/>
            <w:vAlign w:val="top"/>
          </w:tcPr>
          <w:p w14:paraId="752A7B5D">
            <w:pPr>
              <w:pStyle w:val="80"/>
              <w:spacing w:before="121" w:line="211" w:lineRule="auto"/>
              <w:ind w:left="27"/>
            </w:pPr>
            <w:r>
              <w:rPr>
                <w:spacing w:val="40"/>
              </w:rPr>
              <w:t>应急处置</w:t>
            </w:r>
          </w:p>
        </w:tc>
        <w:tc>
          <w:tcPr>
            <w:tcW w:w="127" w:type="pct"/>
            <w:vMerge w:val="continue"/>
            <w:tcBorders>
              <w:top w:val="nil"/>
            </w:tcBorders>
            <w:vAlign w:val="top"/>
          </w:tcPr>
          <w:p w14:paraId="09016F99">
            <w:pPr>
              <w:rPr>
                <w:rFonts w:ascii="Arial"/>
                <w:sz w:val="21"/>
              </w:rPr>
            </w:pPr>
          </w:p>
        </w:tc>
        <w:tc>
          <w:tcPr>
            <w:tcW w:w="135" w:type="pct"/>
            <w:vMerge w:val="continue"/>
            <w:tcBorders>
              <w:top w:val="nil"/>
            </w:tcBorders>
            <w:vAlign w:val="top"/>
          </w:tcPr>
          <w:p w14:paraId="021BFD80">
            <w:pPr>
              <w:rPr>
                <w:rFonts w:ascii="Arial"/>
                <w:sz w:val="21"/>
              </w:rPr>
            </w:pPr>
          </w:p>
        </w:tc>
        <w:tc>
          <w:tcPr>
            <w:tcW w:w="108" w:type="pct"/>
            <w:vMerge w:val="continue"/>
            <w:tcBorders>
              <w:top w:val="nil"/>
            </w:tcBorders>
            <w:vAlign w:val="top"/>
          </w:tcPr>
          <w:p w14:paraId="62A16C20">
            <w:pPr>
              <w:rPr>
                <w:rFonts w:ascii="Arial"/>
                <w:sz w:val="21"/>
              </w:rPr>
            </w:pPr>
          </w:p>
        </w:tc>
        <w:tc>
          <w:tcPr>
            <w:tcW w:w="231" w:type="pct"/>
            <w:vMerge w:val="continue"/>
            <w:tcBorders>
              <w:top w:val="nil"/>
            </w:tcBorders>
            <w:textDirection w:val="tbRlV"/>
            <w:vAlign w:val="top"/>
          </w:tcPr>
          <w:p w14:paraId="06DEEACD">
            <w:pPr>
              <w:rPr>
                <w:rFonts w:ascii="Arial"/>
                <w:sz w:val="21"/>
              </w:rPr>
            </w:pPr>
          </w:p>
        </w:tc>
        <w:tc>
          <w:tcPr>
            <w:tcW w:w="264" w:type="pct"/>
            <w:vMerge w:val="continue"/>
            <w:tcBorders>
              <w:top w:val="nil"/>
            </w:tcBorders>
            <w:textDirection w:val="tbRlV"/>
            <w:vAlign w:val="top"/>
          </w:tcPr>
          <w:p w14:paraId="4CE3C852">
            <w:pPr>
              <w:rPr>
                <w:rFonts w:ascii="Arial"/>
                <w:sz w:val="21"/>
              </w:rPr>
            </w:pPr>
          </w:p>
        </w:tc>
        <w:tc>
          <w:tcPr>
            <w:tcW w:w="504" w:type="pct"/>
            <w:vMerge w:val="continue"/>
            <w:tcBorders>
              <w:top w:val="nil"/>
            </w:tcBorders>
            <w:vAlign w:val="top"/>
          </w:tcPr>
          <w:p w14:paraId="399B6EF3">
            <w:pPr>
              <w:rPr>
                <w:rFonts w:ascii="Arial"/>
                <w:sz w:val="21"/>
              </w:rPr>
            </w:pPr>
          </w:p>
        </w:tc>
        <w:tc>
          <w:tcPr>
            <w:tcW w:w="214" w:type="pct"/>
            <w:vMerge w:val="continue"/>
            <w:tcBorders>
              <w:top w:val="nil"/>
            </w:tcBorders>
            <w:vAlign w:val="top"/>
          </w:tcPr>
          <w:p w14:paraId="2737CE2B">
            <w:pPr>
              <w:rPr>
                <w:rFonts w:ascii="Arial"/>
                <w:sz w:val="21"/>
              </w:rPr>
            </w:pPr>
          </w:p>
        </w:tc>
      </w:tr>
      <w:tr w14:paraId="449CCC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67" w:type="pct"/>
            <w:vAlign w:val="top"/>
          </w:tcPr>
          <w:p w14:paraId="71998591">
            <w:pPr>
              <w:rPr>
                <w:rFonts w:ascii="Arial"/>
                <w:sz w:val="21"/>
              </w:rPr>
            </w:pPr>
          </w:p>
        </w:tc>
        <w:tc>
          <w:tcPr>
            <w:tcW w:w="359" w:type="pct"/>
            <w:vAlign w:val="top"/>
          </w:tcPr>
          <w:p w14:paraId="324F2ADE">
            <w:pPr>
              <w:rPr>
                <w:rFonts w:ascii="Arial"/>
                <w:sz w:val="21"/>
              </w:rPr>
            </w:pPr>
          </w:p>
        </w:tc>
        <w:tc>
          <w:tcPr>
            <w:tcW w:w="1255" w:type="pct"/>
            <w:vAlign w:val="top"/>
          </w:tcPr>
          <w:p w14:paraId="188C97E8">
            <w:pPr>
              <w:rPr>
                <w:rFonts w:ascii="Arial"/>
                <w:sz w:val="21"/>
              </w:rPr>
            </w:pPr>
          </w:p>
        </w:tc>
        <w:tc>
          <w:tcPr>
            <w:tcW w:w="511" w:type="pct"/>
            <w:vAlign w:val="top"/>
          </w:tcPr>
          <w:p w14:paraId="33B2ADFF">
            <w:pPr>
              <w:rPr>
                <w:rFonts w:ascii="Arial"/>
                <w:sz w:val="21"/>
              </w:rPr>
            </w:pPr>
          </w:p>
        </w:tc>
        <w:tc>
          <w:tcPr>
            <w:tcW w:w="232" w:type="pct"/>
            <w:vAlign w:val="top"/>
          </w:tcPr>
          <w:p w14:paraId="3ED64FEB">
            <w:pPr>
              <w:rPr>
                <w:rFonts w:ascii="Arial"/>
                <w:sz w:val="21"/>
              </w:rPr>
            </w:pPr>
          </w:p>
        </w:tc>
        <w:tc>
          <w:tcPr>
            <w:tcW w:w="202" w:type="pct"/>
            <w:vAlign w:val="top"/>
          </w:tcPr>
          <w:p w14:paraId="6E846FF0">
            <w:pPr>
              <w:rPr>
                <w:rFonts w:ascii="Arial"/>
                <w:sz w:val="21"/>
              </w:rPr>
            </w:pPr>
          </w:p>
        </w:tc>
        <w:tc>
          <w:tcPr>
            <w:tcW w:w="274" w:type="pct"/>
            <w:vAlign w:val="top"/>
          </w:tcPr>
          <w:p w14:paraId="336EF91E">
            <w:pPr>
              <w:rPr>
                <w:rFonts w:ascii="Arial"/>
                <w:sz w:val="21"/>
              </w:rPr>
            </w:pPr>
          </w:p>
        </w:tc>
        <w:tc>
          <w:tcPr>
            <w:tcW w:w="228" w:type="pct"/>
            <w:vAlign w:val="top"/>
          </w:tcPr>
          <w:p w14:paraId="0AC78FD6">
            <w:pPr>
              <w:rPr>
                <w:rFonts w:ascii="Arial"/>
                <w:sz w:val="21"/>
              </w:rPr>
            </w:pPr>
          </w:p>
        </w:tc>
        <w:tc>
          <w:tcPr>
            <w:tcW w:w="181" w:type="pct"/>
            <w:vAlign w:val="top"/>
          </w:tcPr>
          <w:p w14:paraId="3850665A">
            <w:pPr>
              <w:rPr>
                <w:rFonts w:ascii="Arial"/>
                <w:sz w:val="21"/>
              </w:rPr>
            </w:pPr>
          </w:p>
        </w:tc>
        <w:tc>
          <w:tcPr>
            <w:tcW w:w="127" w:type="pct"/>
            <w:vAlign w:val="top"/>
          </w:tcPr>
          <w:p w14:paraId="5584BBEE">
            <w:pPr>
              <w:rPr>
                <w:rFonts w:ascii="Arial"/>
                <w:sz w:val="21"/>
              </w:rPr>
            </w:pPr>
          </w:p>
        </w:tc>
        <w:tc>
          <w:tcPr>
            <w:tcW w:w="135" w:type="pct"/>
            <w:vAlign w:val="top"/>
          </w:tcPr>
          <w:p w14:paraId="28010B1F">
            <w:pPr>
              <w:rPr>
                <w:rFonts w:ascii="Arial"/>
                <w:sz w:val="21"/>
              </w:rPr>
            </w:pPr>
          </w:p>
        </w:tc>
        <w:tc>
          <w:tcPr>
            <w:tcW w:w="108" w:type="pct"/>
            <w:vAlign w:val="top"/>
          </w:tcPr>
          <w:p w14:paraId="729244C5">
            <w:pPr>
              <w:rPr>
                <w:rFonts w:ascii="Arial"/>
                <w:sz w:val="21"/>
              </w:rPr>
            </w:pPr>
          </w:p>
        </w:tc>
        <w:tc>
          <w:tcPr>
            <w:tcW w:w="231" w:type="pct"/>
            <w:vAlign w:val="top"/>
          </w:tcPr>
          <w:p w14:paraId="40E851B6">
            <w:pPr>
              <w:rPr>
                <w:rFonts w:ascii="Arial"/>
                <w:sz w:val="21"/>
              </w:rPr>
            </w:pPr>
          </w:p>
        </w:tc>
        <w:tc>
          <w:tcPr>
            <w:tcW w:w="264" w:type="pct"/>
            <w:vAlign w:val="top"/>
          </w:tcPr>
          <w:p w14:paraId="4B9D58E0">
            <w:pPr>
              <w:rPr>
                <w:rFonts w:ascii="Arial"/>
                <w:sz w:val="21"/>
              </w:rPr>
            </w:pPr>
          </w:p>
        </w:tc>
        <w:tc>
          <w:tcPr>
            <w:tcW w:w="504" w:type="pct"/>
            <w:vAlign w:val="top"/>
          </w:tcPr>
          <w:p w14:paraId="22171291">
            <w:pPr>
              <w:rPr>
                <w:rFonts w:ascii="Arial"/>
                <w:sz w:val="21"/>
              </w:rPr>
            </w:pPr>
          </w:p>
        </w:tc>
        <w:tc>
          <w:tcPr>
            <w:tcW w:w="214" w:type="pct"/>
            <w:vAlign w:val="top"/>
          </w:tcPr>
          <w:p w14:paraId="25F7BACB">
            <w:pPr>
              <w:rPr>
                <w:rFonts w:ascii="Arial"/>
                <w:sz w:val="21"/>
              </w:rPr>
            </w:pPr>
          </w:p>
        </w:tc>
      </w:tr>
    </w:tbl>
    <w:p w14:paraId="353FA245">
      <w:pPr>
        <w:spacing w:before="25" w:line="220" w:lineRule="auto"/>
        <w:ind w:left="779"/>
        <w:rPr>
          <w:rFonts w:ascii="宋体" w:hAnsi="宋体" w:eastAsia="宋体" w:cs="宋体"/>
          <w:sz w:val="18"/>
          <w:szCs w:val="18"/>
        </w:rPr>
      </w:pPr>
      <w:r>
        <w:rPr>
          <w:rFonts w:ascii="宋体" w:hAnsi="宋体" w:eastAsia="宋体" w:cs="宋体"/>
          <w:spacing w:val="-9"/>
          <w:sz w:val="18"/>
          <w:szCs w:val="18"/>
        </w:rPr>
        <w:t>分析人：</w:t>
      </w:r>
      <w:r>
        <w:rPr>
          <w:rFonts w:ascii="宋体" w:hAnsi="宋体" w:eastAsia="宋体" w:cs="宋体"/>
          <w:spacing w:val="6"/>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审核人：</w:t>
      </w:r>
      <w:r>
        <w:rPr>
          <w:rFonts w:ascii="宋体" w:hAnsi="宋体" w:eastAsia="宋体" w:cs="宋体"/>
          <w:spacing w:val="4"/>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审定人：</w:t>
      </w:r>
      <w:r>
        <w:rPr>
          <w:rFonts w:ascii="宋体" w:hAnsi="宋体" w:eastAsia="宋体" w:cs="宋体"/>
          <w:spacing w:val="4"/>
          <w:sz w:val="18"/>
          <w:szCs w:val="18"/>
        </w:rPr>
        <w:t xml:space="preserve">        </w:t>
      </w:r>
      <w:r>
        <w:rPr>
          <w:rFonts w:ascii="宋体" w:hAnsi="宋体" w:eastAsia="宋体" w:cs="宋体"/>
          <w:spacing w:val="-9"/>
          <w:sz w:val="18"/>
          <w:szCs w:val="18"/>
        </w:rPr>
        <w:t>日期：</w:t>
      </w:r>
    </w:p>
    <w:p w14:paraId="7B0FF2C2">
      <w:pPr>
        <w:spacing w:before="17" w:line="233" w:lineRule="auto"/>
        <w:ind w:left="327" w:right="316" w:firstLine="360"/>
        <w:jc w:val="both"/>
        <w:rPr>
          <w:rFonts w:ascii="宋体" w:hAnsi="宋体" w:eastAsia="宋体" w:cs="宋体"/>
          <w:spacing w:val="-1"/>
          <w:sz w:val="18"/>
          <w:szCs w:val="18"/>
        </w:rPr>
      </w:pPr>
      <w:r>
        <w:rPr>
          <w:rFonts w:ascii="宋体" w:hAnsi="宋体" w:eastAsia="宋体" w:cs="宋体"/>
          <w:spacing w:val="2"/>
          <w:sz w:val="18"/>
          <w:szCs w:val="18"/>
        </w:rPr>
        <w:t>填表说明：1、审核人为</w:t>
      </w:r>
      <w:r>
        <w:rPr>
          <w:rFonts w:hint="eastAsia" w:ascii="宋体" w:hAnsi="宋体" w:eastAsia="宋体" w:cs="宋体"/>
          <w:spacing w:val="2"/>
          <w:sz w:val="18"/>
          <w:szCs w:val="18"/>
          <w:lang w:val="en-US" w:eastAsia="zh-CN"/>
        </w:rPr>
        <w:t>监测机构安全员</w:t>
      </w:r>
      <w:r>
        <w:rPr>
          <w:rFonts w:ascii="宋体" w:hAnsi="宋体" w:eastAsia="宋体" w:cs="宋体"/>
          <w:spacing w:val="2"/>
          <w:sz w:val="18"/>
          <w:szCs w:val="18"/>
        </w:rPr>
        <w:t>，审</w:t>
      </w:r>
      <w:r>
        <w:rPr>
          <w:rFonts w:ascii="宋体" w:hAnsi="宋体" w:eastAsia="宋体" w:cs="宋体"/>
          <w:spacing w:val="1"/>
          <w:sz w:val="18"/>
          <w:szCs w:val="18"/>
        </w:rPr>
        <w:t>定人为</w:t>
      </w:r>
      <w:r>
        <w:rPr>
          <w:rFonts w:hint="eastAsia" w:ascii="宋体" w:hAnsi="宋体" w:eastAsia="宋体" w:cs="宋体"/>
          <w:spacing w:val="1"/>
          <w:sz w:val="18"/>
          <w:szCs w:val="18"/>
          <w:lang w:val="en-US" w:eastAsia="zh-CN"/>
        </w:rPr>
        <w:t>安全责任人</w:t>
      </w:r>
      <w:r>
        <w:rPr>
          <w:rFonts w:ascii="宋体" w:hAnsi="宋体" w:eastAsia="宋体" w:cs="宋体"/>
          <w:spacing w:val="1"/>
          <w:sz w:val="18"/>
          <w:szCs w:val="18"/>
        </w:rPr>
        <w:t>。2、评价级别是指运用风险评价方法，确定</w:t>
      </w:r>
      <w:r>
        <w:rPr>
          <w:rFonts w:ascii="宋体" w:hAnsi="宋体" w:eastAsia="宋体" w:cs="宋体"/>
          <w:sz w:val="18"/>
          <w:szCs w:val="18"/>
        </w:rPr>
        <w:t>的风险等级。3、管控级别是指按照风险等级规定的对应原则，划分的</w:t>
      </w:r>
      <w:r>
        <w:rPr>
          <w:rFonts w:ascii="宋体" w:hAnsi="宋体" w:eastAsia="宋体" w:cs="宋体"/>
          <w:spacing w:val="-1"/>
          <w:sz w:val="18"/>
          <w:szCs w:val="18"/>
        </w:rPr>
        <w:t>重大风险、较大风险、一般风险和低风险，分别用“红、橙、黄、蓝”标识。</w:t>
      </w:r>
    </w:p>
    <w:p w14:paraId="71D69EF5">
      <w:pPr>
        <w:pStyle w:val="79"/>
        <w:numPr>
          <w:ilvl w:val="0"/>
          <w:numId w:val="0"/>
        </w:numPr>
        <w:tabs>
          <w:tab w:val="left" w:pos="180"/>
        </w:tabs>
        <w:spacing w:before="156" w:after="156"/>
        <w:ind w:left="3114"/>
        <w:jc w:val="both"/>
        <w:rPr>
          <w:rFonts w:hint="eastAsia" w:ascii="黑体" w:hAnsi="Times New Roman" w:eastAsia="黑体" w:cs="Times New Roman"/>
          <w:sz w:val="21"/>
          <w:szCs w:val="20"/>
        </w:rPr>
      </w:pPr>
      <w:r>
        <w:rPr>
          <w:rFonts w:hint="eastAsia" w:ascii="黑体" w:hAnsi="Times New Roman" w:eastAsia="黑体" w:cs="Times New Roman"/>
          <w:spacing w:val="0"/>
          <w:sz w:val="21"/>
          <w:szCs w:val="20"/>
        </w:rPr>
        <w:t xml:space="preserve">表 </w:t>
      </w:r>
      <w:r>
        <w:rPr>
          <w:rFonts w:hint="eastAsia" w:ascii="黑体" w:hAnsi="Times New Roman" w:eastAsia="黑体" w:cs="Times New Roman"/>
          <w:spacing w:val="0"/>
          <w:sz w:val="21"/>
          <w:szCs w:val="20"/>
          <w:lang w:val="en-US" w:eastAsia="zh-CN"/>
        </w:rPr>
        <w:t>A.3</w:t>
      </w:r>
      <w:r>
        <w:rPr>
          <w:rFonts w:hint="eastAsia" w:ascii="黑体" w:hAnsi="Times New Roman" w:eastAsia="黑体" w:cs="Times New Roman"/>
          <w:spacing w:val="0"/>
          <w:sz w:val="21"/>
          <w:szCs w:val="20"/>
        </w:rPr>
        <w:t>工作危害分析（JHA+</w:t>
      </w:r>
      <w:r>
        <w:rPr>
          <w:rFonts w:hint="eastAsia" w:ascii="黑体" w:hAnsi="Times New Roman" w:eastAsia="黑体" w:cs="Times New Roman"/>
          <w:spacing w:val="0"/>
          <w:sz w:val="21"/>
          <w:szCs w:val="20"/>
          <w:lang w:val="en-US" w:eastAsia="zh-CN"/>
        </w:rPr>
        <w:t>MES</w:t>
      </w:r>
      <w:r>
        <w:rPr>
          <w:rFonts w:hint="eastAsia" w:ascii="黑体" w:hAnsi="Times New Roman" w:eastAsia="黑体" w:cs="Times New Roman"/>
          <w:spacing w:val="0"/>
          <w:sz w:val="21"/>
          <w:szCs w:val="20"/>
        </w:rPr>
        <w:t>）评价记录</w:t>
      </w:r>
    </w:p>
    <w:p w14:paraId="6315A0E8">
      <w:pPr>
        <w:spacing w:before="189" w:line="213" w:lineRule="auto"/>
        <w:rPr>
          <w:rFonts w:ascii="宋体" w:hAnsi="宋体" w:eastAsia="宋体" w:cs="宋体"/>
          <w:sz w:val="18"/>
          <w:szCs w:val="18"/>
        </w:rPr>
      </w:pPr>
      <w:r>
        <w:rPr>
          <w:rFonts w:ascii="宋体" w:hAnsi="宋体" w:eastAsia="宋体" w:cs="宋体"/>
          <w:sz w:val="18"/>
          <w:szCs w:val="18"/>
        </w:rPr>
        <w:t xml:space="preserve">（记录受控号）单位：              岗位：             风险点（作业活动）名称：          </w:t>
      </w:r>
      <w:r>
        <w:rPr>
          <w:rFonts w:ascii="宋体" w:hAnsi="宋体" w:eastAsia="宋体" w:cs="宋体"/>
          <w:spacing w:val="-1"/>
          <w:sz w:val="18"/>
          <w:szCs w:val="18"/>
        </w:rPr>
        <w:t xml:space="preserve">      No：</w:t>
      </w:r>
    </w:p>
    <w:tbl>
      <w:tblPr>
        <w:tblStyle w:val="20"/>
        <w:tblW w:w="502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18"/>
        <w:gridCol w:w="733"/>
        <w:gridCol w:w="2079"/>
        <w:gridCol w:w="844"/>
        <w:gridCol w:w="598"/>
        <w:gridCol w:w="413"/>
        <w:gridCol w:w="417"/>
        <w:gridCol w:w="318"/>
        <w:gridCol w:w="351"/>
        <w:gridCol w:w="206"/>
        <w:gridCol w:w="205"/>
        <w:gridCol w:w="221"/>
        <w:gridCol w:w="205"/>
        <w:gridCol w:w="403"/>
        <w:gridCol w:w="461"/>
        <w:gridCol w:w="884"/>
        <w:gridCol w:w="380"/>
      </w:tblGrid>
      <w:tr w14:paraId="42145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69" w:type="pct"/>
            <w:vMerge w:val="restart"/>
            <w:tcBorders>
              <w:bottom w:val="nil"/>
            </w:tcBorders>
            <w:textDirection w:val="tbRlV"/>
            <w:vAlign w:val="top"/>
          </w:tcPr>
          <w:p w14:paraId="0143A0D3">
            <w:pPr>
              <w:pStyle w:val="80"/>
              <w:spacing w:before="26" w:line="210" w:lineRule="auto"/>
              <w:ind w:left="543"/>
            </w:pPr>
            <w:r>
              <w:rPr>
                <w:spacing w:val="26"/>
              </w:rPr>
              <w:t>序号</w:t>
            </w:r>
          </w:p>
        </w:tc>
        <w:tc>
          <w:tcPr>
            <w:tcW w:w="408" w:type="pct"/>
            <w:vMerge w:val="restart"/>
            <w:tcBorders>
              <w:bottom w:val="nil"/>
            </w:tcBorders>
            <w:vAlign w:val="top"/>
          </w:tcPr>
          <w:p w14:paraId="5DC3D9E8">
            <w:pPr>
              <w:spacing w:line="241" w:lineRule="auto"/>
              <w:rPr>
                <w:rFonts w:ascii="Arial"/>
                <w:sz w:val="21"/>
              </w:rPr>
            </w:pPr>
          </w:p>
          <w:p w14:paraId="75048E3B">
            <w:pPr>
              <w:spacing w:line="241" w:lineRule="auto"/>
              <w:rPr>
                <w:rFonts w:ascii="Arial"/>
                <w:sz w:val="21"/>
              </w:rPr>
            </w:pPr>
          </w:p>
          <w:p w14:paraId="5E45B689">
            <w:pPr>
              <w:pStyle w:val="80"/>
              <w:spacing w:before="58" w:line="229" w:lineRule="auto"/>
              <w:ind w:left="150" w:right="148" w:hanging="1"/>
            </w:pPr>
            <w:r>
              <w:rPr>
                <w:spacing w:val="-4"/>
              </w:rPr>
              <w:t>作业</w:t>
            </w:r>
            <w:r>
              <w:t xml:space="preserve"> </w:t>
            </w:r>
            <w:r>
              <w:rPr>
                <w:spacing w:val="-5"/>
              </w:rPr>
              <w:t>步骤</w:t>
            </w:r>
          </w:p>
        </w:tc>
        <w:tc>
          <w:tcPr>
            <w:tcW w:w="1152" w:type="pct"/>
            <w:vMerge w:val="restart"/>
            <w:tcBorders>
              <w:bottom w:val="nil"/>
            </w:tcBorders>
            <w:vAlign w:val="top"/>
          </w:tcPr>
          <w:p w14:paraId="06625908">
            <w:pPr>
              <w:spacing w:line="250" w:lineRule="auto"/>
              <w:rPr>
                <w:rFonts w:ascii="Arial"/>
                <w:sz w:val="21"/>
              </w:rPr>
            </w:pPr>
          </w:p>
          <w:p w14:paraId="1C5A6CAA">
            <w:pPr>
              <w:pStyle w:val="80"/>
              <w:spacing w:before="58" w:line="234" w:lineRule="auto"/>
              <w:ind w:right="114"/>
              <w:jc w:val="both"/>
            </w:pPr>
            <w:r>
              <w:rPr>
                <w:spacing w:val="-2"/>
              </w:rPr>
              <w:t>危险源或潜</w:t>
            </w:r>
            <w:r>
              <w:rPr>
                <w:spacing w:val="-6"/>
              </w:rPr>
              <w:t>在事件（人、</w:t>
            </w:r>
            <w:r>
              <w:rPr>
                <w:spacing w:val="2"/>
              </w:rPr>
              <w:t xml:space="preserve"> </w:t>
            </w:r>
            <w:r>
              <w:rPr>
                <w:spacing w:val="14"/>
              </w:rPr>
              <w:t>物、作业环</w:t>
            </w:r>
            <w:r>
              <w:rPr>
                <w:spacing w:val="12"/>
              </w:rPr>
              <w:t>境、管理）</w:t>
            </w:r>
          </w:p>
        </w:tc>
        <w:tc>
          <w:tcPr>
            <w:tcW w:w="469" w:type="pct"/>
            <w:vMerge w:val="restart"/>
            <w:tcBorders>
              <w:bottom w:val="nil"/>
            </w:tcBorders>
            <w:vAlign w:val="top"/>
          </w:tcPr>
          <w:p w14:paraId="6CA2110B">
            <w:pPr>
              <w:spacing w:line="241" w:lineRule="auto"/>
              <w:rPr>
                <w:rFonts w:ascii="Arial"/>
                <w:sz w:val="21"/>
              </w:rPr>
            </w:pPr>
          </w:p>
          <w:p w14:paraId="25E38422">
            <w:pPr>
              <w:spacing w:line="241" w:lineRule="auto"/>
              <w:rPr>
                <w:rFonts w:ascii="Arial"/>
                <w:sz w:val="21"/>
              </w:rPr>
            </w:pPr>
          </w:p>
          <w:p w14:paraId="0F0F4CF4">
            <w:pPr>
              <w:pStyle w:val="80"/>
              <w:spacing w:before="59" w:line="229" w:lineRule="auto"/>
              <w:ind w:left="176" w:right="176"/>
            </w:pPr>
            <w:r>
              <w:rPr>
                <w:spacing w:val="-5"/>
              </w:rPr>
              <w:t>主要</w:t>
            </w:r>
            <w:r>
              <w:t xml:space="preserve"> </w:t>
            </w:r>
            <w:r>
              <w:rPr>
                <w:spacing w:val="-5"/>
              </w:rPr>
              <w:t>后果</w:t>
            </w:r>
          </w:p>
        </w:tc>
        <w:tc>
          <w:tcPr>
            <w:tcW w:w="1167" w:type="pct"/>
            <w:gridSpan w:val="5"/>
            <w:vAlign w:val="top"/>
          </w:tcPr>
          <w:p w14:paraId="7A5B07DC">
            <w:pPr>
              <w:pStyle w:val="80"/>
              <w:spacing w:before="188" w:line="220" w:lineRule="auto"/>
              <w:ind w:left="667"/>
            </w:pPr>
            <w:r>
              <w:rPr>
                <w:spacing w:val="-2"/>
              </w:rPr>
              <w:t>现有控制措施</w:t>
            </w:r>
          </w:p>
        </w:tc>
        <w:tc>
          <w:tcPr>
            <w:tcW w:w="109" w:type="pct"/>
            <w:vMerge w:val="restart"/>
            <w:vAlign w:val="top"/>
          </w:tcPr>
          <w:p w14:paraId="6F916759">
            <w:pPr>
              <w:spacing w:line="315" w:lineRule="auto"/>
              <w:rPr>
                <w:rFonts w:ascii="Arial"/>
                <w:sz w:val="21"/>
              </w:rPr>
            </w:pPr>
          </w:p>
          <w:p w14:paraId="2A8027FA">
            <w:pPr>
              <w:spacing w:line="315" w:lineRule="auto"/>
              <w:rPr>
                <w:rFonts w:ascii="Arial"/>
                <w:sz w:val="21"/>
              </w:rPr>
            </w:pPr>
          </w:p>
          <w:p w14:paraId="6B71F32E">
            <w:pPr>
              <w:pStyle w:val="80"/>
              <w:spacing w:before="58" w:line="180" w:lineRule="auto"/>
              <w:ind w:left="110" w:leftChars="0"/>
              <w:rPr>
                <w:rFonts w:hint="eastAsia" w:ascii="Arial" w:eastAsia="宋体"/>
                <w:sz w:val="21"/>
                <w:lang w:eastAsia="zh-CN"/>
              </w:rPr>
            </w:pPr>
            <w:r>
              <w:rPr>
                <w:rFonts w:hint="eastAsia"/>
                <w:lang w:val="en-US" w:eastAsia="zh-CN"/>
              </w:rPr>
              <w:t>M</w:t>
            </w:r>
          </w:p>
        </w:tc>
        <w:tc>
          <w:tcPr>
            <w:tcW w:w="109" w:type="pct"/>
            <w:vMerge w:val="restart"/>
            <w:vAlign w:val="top"/>
          </w:tcPr>
          <w:p w14:paraId="537A9076">
            <w:pPr>
              <w:spacing w:line="315" w:lineRule="auto"/>
              <w:rPr>
                <w:rFonts w:ascii="Arial"/>
                <w:sz w:val="21"/>
              </w:rPr>
            </w:pPr>
          </w:p>
          <w:p w14:paraId="05EC1924">
            <w:pPr>
              <w:spacing w:line="315" w:lineRule="auto"/>
              <w:rPr>
                <w:rFonts w:ascii="Arial"/>
                <w:sz w:val="21"/>
              </w:rPr>
            </w:pPr>
          </w:p>
          <w:p w14:paraId="75169C99">
            <w:pPr>
              <w:pStyle w:val="80"/>
              <w:spacing w:before="58" w:line="180" w:lineRule="auto"/>
              <w:ind w:left="109" w:leftChars="0"/>
              <w:rPr>
                <w:rFonts w:ascii="Arial"/>
                <w:sz w:val="21"/>
              </w:rPr>
            </w:pPr>
            <w:r>
              <w:t>E</w:t>
            </w:r>
          </w:p>
        </w:tc>
        <w:tc>
          <w:tcPr>
            <w:tcW w:w="117" w:type="pct"/>
            <w:vMerge w:val="restart"/>
            <w:vAlign w:val="top"/>
          </w:tcPr>
          <w:p w14:paraId="5EA81604">
            <w:pPr>
              <w:spacing w:line="314" w:lineRule="auto"/>
              <w:rPr>
                <w:rFonts w:ascii="Arial"/>
                <w:sz w:val="21"/>
              </w:rPr>
            </w:pPr>
          </w:p>
          <w:p w14:paraId="13F7BA4C">
            <w:pPr>
              <w:spacing w:line="315" w:lineRule="auto"/>
              <w:rPr>
                <w:rFonts w:ascii="Arial"/>
                <w:sz w:val="21"/>
              </w:rPr>
            </w:pPr>
          </w:p>
          <w:p w14:paraId="069F725A">
            <w:pPr>
              <w:pStyle w:val="80"/>
              <w:spacing w:before="58" w:line="181" w:lineRule="auto"/>
              <w:ind w:left="110" w:leftChars="0"/>
              <w:rPr>
                <w:rFonts w:hint="eastAsia" w:ascii="宋体"/>
                <w:sz w:val="21"/>
                <w:lang w:eastAsia="zh-CN"/>
              </w:rPr>
            </w:pPr>
            <w:r>
              <w:rPr>
                <w:rFonts w:hint="eastAsia"/>
                <w:sz w:val="21"/>
                <w:lang w:val="en-US" w:eastAsia="zh-CN"/>
              </w:rPr>
              <w:t>S</w:t>
            </w:r>
          </w:p>
        </w:tc>
        <w:tc>
          <w:tcPr>
            <w:tcW w:w="109" w:type="pct"/>
            <w:vMerge w:val="restart"/>
            <w:vAlign w:val="top"/>
          </w:tcPr>
          <w:p w14:paraId="4F315A80">
            <w:pPr>
              <w:spacing w:line="315" w:lineRule="auto"/>
              <w:rPr>
                <w:rFonts w:ascii="Arial"/>
                <w:sz w:val="21"/>
              </w:rPr>
            </w:pPr>
          </w:p>
          <w:p w14:paraId="6056EB50">
            <w:pPr>
              <w:spacing w:line="315" w:lineRule="auto"/>
              <w:rPr>
                <w:rFonts w:ascii="Arial"/>
                <w:sz w:val="21"/>
              </w:rPr>
            </w:pPr>
          </w:p>
          <w:p w14:paraId="159E1DA4">
            <w:pPr>
              <w:pStyle w:val="80"/>
              <w:spacing w:before="58" w:line="180" w:lineRule="auto"/>
              <w:ind w:left="109" w:leftChars="0"/>
              <w:rPr>
                <w:rFonts w:hint="eastAsia" w:ascii="宋体"/>
                <w:sz w:val="21"/>
                <w:lang w:eastAsia="zh-CN"/>
              </w:rPr>
            </w:pPr>
            <w:r>
              <w:rPr>
                <w:rFonts w:hint="eastAsia"/>
                <w:lang w:val="en-US" w:eastAsia="zh-CN"/>
              </w:rPr>
              <w:t>R</w:t>
            </w:r>
          </w:p>
        </w:tc>
        <w:tc>
          <w:tcPr>
            <w:tcW w:w="225" w:type="pct"/>
            <w:vMerge w:val="restart"/>
            <w:tcBorders>
              <w:bottom w:val="nil"/>
            </w:tcBorders>
            <w:textDirection w:val="tbRlV"/>
            <w:vAlign w:val="top"/>
          </w:tcPr>
          <w:p w14:paraId="05DF1778">
            <w:pPr>
              <w:pStyle w:val="80"/>
              <w:spacing w:before="191" w:line="207" w:lineRule="auto"/>
              <w:ind w:left="310"/>
            </w:pPr>
            <w:r>
              <w:rPr>
                <w:spacing w:val="39"/>
              </w:rPr>
              <w:t>评价级别</w:t>
            </w:r>
          </w:p>
        </w:tc>
        <w:tc>
          <w:tcPr>
            <w:tcW w:w="257" w:type="pct"/>
            <w:vMerge w:val="restart"/>
            <w:tcBorders>
              <w:bottom w:val="nil"/>
            </w:tcBorders>
            <w:textDirection w:val="tbRlV"/>
            <w:vAlign w:val="top"/>
          </w:tcPr>
          <w:p w14:paraId="47EBF69B">
            <w:pPr>
              <w:pStyle w:val="80"/>
              <w:spacing w:before="190" w:line="209" w:lineRule="auto"/>
              <w:ind w:left="310"/>
            </w:pPr>
            <w:r>
              <w:rPr>
                <w:spacing w:val="39"/>
              </w:rPr>
              <w:t>管控级别</w:t>
            </w:r>
          </w:p>
        </w:tc>
        <w:tc>
          <w:tcPr>
            <w:tcW w:w="491" w:type="pct"/>
            <w:vMerge w:val="restart"/>
            <w:tcBorders>
              <w:bottom w:val="nil"/>
            </w:tcBorders>
            <w:vAlign w:val="top"/>
          </w:tcPr>
          <w:p w14:paraId="6429914E">
            <w:pPr>
              <w:spacing w:line="299" w:lineRule="auto"/>
              <w:rPr>
                <w:rFonts w:ascii="Arial"/>
                <w:sz w:val="21"/>
              </w:rPr>
            </w:pPr>
          </w:p>
          <w:p w14:paraId="3C9B1518">
            <w:pPr>
              <w:spacing w:line="299" w:lineRule="auto"/>
              <w:rPr>
                <w:rFonts w:ascii="Arial"/>
                <w:sz w:val="21"/>
              </w:rPr>
            </w:pPr>
          </w:p>
          <w:p w14:paraId="0897A497">
            <w:pPr>
              <w:pStyle w:val="80"/>
              <w:spacing w:before="58" w:line="220" w:lineRule="auto"/>
              <w:ind w:left="117"/>
            </w:pPr>
            <w:r>
              <w:rPr>
                <w:spacing w:val="-1"/>
              </w:rPr>
              <w:t>建议新增（改进）措施</w:t>
            </w:r>
          </w:p>
        </w:tc>
        <w:tc>
          <w:tcPr>
            <w:tcW w:w="212" w:type="pct"/>
            <w:vMerge w:val="restart"/>
            <w:tcBorders>
              <w:bottom w:val="nil"/>
            </w:tcBorders>
            <w:vAlign w:val="top"/>
          </w:tcPr>
          <w:p w14:paraId="4A309AFA">
            <w:pPr>
              <w:spacing w:line="299" w:lineRule="auto"/>
              <w:rPr>
                <w:rFonts w:ascii="Arial"/>
                <w:sz w:val="21"/>
              </w:rPr>
            </w:pPr>
          </w:p>
          <w:p w14:paraId="71BE0B7E">
            <w:pPr>
              <w:spacing w:line="299" w:lineRule="auto"/>
              <w:rPr>
                <w:rFonts w:ascii="Arial"/>
                <w:sz w:val="21"/>
              </w:rPr>
            </w:pPr>
          </w:p>
          <w:p w14:paraId="44BF53B7">
            <w:pPr>
              <w:pStyle w:val="80"/>
              <w:spacing w:before="59" w:line="221" w:lineRule="auto"/>
              <w:ind w:left="133"/>
            </w:pPr>
            <w:r>
              <w:rPr>
                <w:spacing w:val="-3"/>
              </w:rPr>
              <w:t>备注</w:t>
            </w:r>
          </w:p>
        </w:tc>
      </w:tr>
      <w:tr w14:paraId="5143E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6" w:hRule="atLeast"/>
        </w:trPr>
        <w:tc>
          <w:tcPr>
            <w:tcW w:w="169" w:type="pct"/>
            <w:vMerge w:val="continue"/>
            <w:tcBorders>
              <w:top w:val="nil"/>
            </w:tcBorders>
            <w:textDirection w:val="tbRlV"/>
            <w:vAlign w:val="top"/>
          </w:tcPr>
          <w:p w14:paraId="503604B5">
            <w:pPr>
              <w:rPr>
                <w:rFonts w:ascii="Arial"/>
                <w:sz w:val="21"/>
              </w:rPr>
            </w:pPr>
          </w:p>
        </w:tc>
        <w:tc>
          <w:tcPr>
            <w:tcW w:w="408" w:type="pct"/>
            <w:vMerge w:val="continue"/>
            <w:tcBorders>
              <w:top w:val="nil"/>
            </w:tcBorders>
            <w:vAlign w:val="top"/>
          </w:tcPr>
          <w:p w14:paraId="5263C5DB">
            <w:pPr>
              <w:rPr>
                <w:rFonts w:ascii="Arial"/>
                <w:sz w:val="21"/>
              </w:rPr>
            </w:pPr>
          </w:p>
        </w:tc>
        <w:tc>
          <w:tcPr>
            <w:tcW w:w="1152" w:type="pct"/>
            <w:vMerge w:val="continue"/>
            <w:tcBorders>
              <w:top w:val="nil"/>
            </w:tcBorders>
            <w:vAlign w:val="top"/>
          </w:tcPr>
          <w:p w14:paraId="27082C22">
            <w:pPr>
              <w:rPr>
                <w:rFonts w:ascii="Arial"/>
                <w:sz w:val="21"/>
              </w:rPr>
            </w:pPr>
          </w:p>
        </w:tc>
        <w:tc>
          <w:tcPr>
            <w:tcW w:w="469" w:type="pct"/>
            <w:vMerge w:val="continue"/>
            <w:tcBorders>
              <w:top w:val="nil"/>
            </w:tcBorders>
            <w:vAlign w:val="top"/>
          </w:tcPr>
          <w:p w14:paraId="04E3DC59">
            <w:pPr>
              <w:rPr>
                <w:rFonts w:ascii="Arial"/>
                <w:sz w:val="21"/>
              </w:rPr>
            </w:pPr>
          </w:p>
        </w:tc>
        <w:tc>
          <w:tcPr>
            <w:tcW w:w="333" w:type="pct"/>
            <w:textDirection w:val="tbRlV"/>
            <w:vAlign w:val="top"/>
          </w:tcPr>
          <w:p w14:paraId="7F6B6DBF">
            <w:pPr>
              <w:pStyle w:val="80"/>
              <w:spacing w:before="194" w:line="209" w:lineRule="auto"/>
              <w:ind w:left="27"/>
            </w:pPr>
            <w:r>
              <w:rPr>
                <w:spacing w:val="40"/>
              </w:rPr>
              <w:t>工程技术</w:t>
            </w:r>
          </w:p>
        </w:tc>
        <w:tc>
          <w:tcPr>
            <w:tcW w:w="231" w:type="pct"/>
            <w:textDirection w:val="tbRlV"/>
            <w:vAlign w:val="top"/>
          </w:tcPr>
          <w:p w14:paraId="7FC72685">
            <w:pPr>
              <w:pStyle w:val="80"/>
              <w:spacing w:before="120" w:line="209" w:lineRule="auto"/>
              <w:ind w:left="27"/>
            </w:pPr>
            <w:r>
              <w:rPr>
                <w:spacing w:val="40"/>
              </w:rPr>
              <w:t>管理措施</w:t>
            </w:r>
          </w:p>
        </w:tc>
        <w:tc>
          <w:tcPr>
            <w:tcW w:w="233" w:type="pct"/>
            <w:textDirection w:val="tbRlV"/>
            <w:vAlign w:val="top"/>
          </w:tcPr>
          <w:p w14:paraId="4F40A11B">
            <w:pPr>
              <w:pStyle w:val="80"/>
              <w:spacing w:before="192" w:line="207" w:lineRule="auto"/>
              <w:ind w:left="27"/>
            </w:pPr>
            <w:r>
              <w:rPr>
                <w:spacing w:val="40"/>
              </w:rPr>
              <w:t>培训教育</w:t>
            </w:r>
          </w:p>
        </w:tc>
        <w:tc>
          <w:tcPr>
            <w:tcW w:w="174" w:type="pct"/>
            <w:textDirection w:val="tbRlV"/>
            <w:vAlign w:val="top"/>
          </w:tcPr>
          <w:p w14:paraId="1CD45485">
            <w:pPr>
              <w:pStyle w:val="80"/>
              <w:spacing w:before="120" w:line="208" w:lineRule="auto"/>
              <w:ind w:left="27"/>
            </w:pPr>
            <w:r>
              <w:rPr>
                <w:spacing w:val="40"/>
              </w:rPr>
              <w:t>个体防护</w:t>
            </w:r>
          </w:p>
        </w:tc>
        <w:tc>
          <w:tcPr>
            <w:tcW w:w="195" w:type="pct"/>
            <w:textDirection w:val="tbRlV"/>
            <w:vAlign w:val="top"/>
          </w:tcPr>
          <w:p w14:paraId="40284984">
            <w:pPr>
              <w:pStyle w:val="80"/>
              <w:spacing w:before="121" w:line="211" w:lineRule="auto"/>
              <w:ind w:left="27"/>
            </w:pPr>
            <w:r>
              <w:rPr>
                <w:spacing w:val="40"/>
              </w:rPr>
              <w:t>应急处置</w:t>
            </w:r>
          </w:p>
        </w:tc>
        <w:tc>
          <w:tcPr>
            <w:tcW w:w="109" w:type="pct"/>
            <w:vMerge w:val="continue"/>
            <w:vAlign w:val="top"/>
          </w:tcPr>
          <w:p w14:paraId="089DF1CD">
            <w:pPr>
              <w:pStyle w:val="80"/>
              <w:spacing w:before="58" w:line="180" w:lineRule="auto"/>
              <w:ind w:left="109" w:leftChars="0"/>
              <w:rPr>
                <w:rFonts w:ascii="Arial"/>
                <w:sz w:val="21"/>
              </w:rPr>
            </w:pPr>
          </w:p>
        </w:tc>
        <w:tc>
          <w:tcPr>
            <w:tcW w:w="109" w:type="pct"/>
            <w:vMerge w:val="continue"/>
            <w:vAlign w:val="top"/>
          </w:tcPr>
          <w:p w14:paraId="4A7EE9FA">
            <w:pPr>
              <w:pStyle w:val="80"/>
              <w:spacing w:before="58" w:line="181" w:lineRule="auto"/>
              <w:ind w:left="110" w:leftChars="0"/>
              <w:rPr>
                <w:rFonts w:ascii="Arial"/>
                <w:sz w:val="21"/>
              </w:rPr>
            </w:pPr>
          </w:p>
        </w:tc>
        <w:tc>
          <w:tcPr>
            <w:tcW w:w="117" w:type="pct"/>
            <w:vMerge w:val="continue"/>
            <w:vAlign w:val="top"/>
          </w:tcPr>
          <w:p w14:paraId="048DD3B6">
            <w:pPr>
              <w:pStyle w:val="80"/>
              <w:spacing w:before="58" w:line="180" w:lineRule="auto"/>
              <w:ind w:left="108" w:leftChars="0"/>
              <w:rPr>
                <w:rFonts w:hint="eastAsia" w:ascii="宋体"/>
                <w:sz w:val="21"/>
              </w:rPr>
            </w:pPr>
          </w:p>
        </w:tc>
        <w:tc>
          <w:tcPr>
            <w:tcW w:w="109" w:type="pct"/>
            <w:vMerge w:val="continue"/>
            <w:vAlign w:val="top"/>
          </w:tcPr>
          <w:p w14:paraId="705E1591">
            <w:pPr>
              <w:pStyle w:val="80"/>
              <w:spacing w:before="58" w:line="180" w:lineRule="auto"/>
              <w:ind w:left="109" w:leftChars="0"/>
              <w:rPr>
                <w:rFonts w:hint="eastAsia" w:ascii="宋体"/>
                <w:sz w:val="21"/>
              </w:rPr>
            </w:pPr>
          </w:p>
        </w:tc>
        <w:tc>
          <w:tcPr>
            <w:tcW w:w="225" w:type="pct"/>
            <w:vMerge w:val="continue"/>
            <w:tcBorders>
              <w:top w:val="nil"/>
            </w:tcBorders>
            <w:textDirection w:val="tbRlV"/>
            <w:vAlign w:val="top"/>
          </w:tcPr>
          <w:p w14:paraId="4B6E22F8">
            <w:pPr>
              <w:rPr>
                <w:rFonts w:ascii="Arial"/>
                <w:sz w:val="21"/>
              </w:rPr>
            </w:pPr>
          </w:p>
        </w:tc>
        <w:tc>
          <w:tcPr>
            <w:tcW w:w="257" w:type="pct"/>
            <w:vMerge w:val="continue"/>
            <w:tcBorders>
              <w:top w:val="nil"/>
            </w:tcBorders>
            <w:textDirection w:val="tbRlV"/>
            <w:vAlign w:val="top"/>
          </w:tcPr>
          <w:p w14:paraId="2F474726">
            <w:pPr>
              <w:rPr>
                <w:rFonts w:ascii="Arial"/>
                <w:sz w:val="21"/>
              </w:rPr>
            </w:pPr>
          </w:p>
        </w:tc>
        <w:tc>
          <w:tcPr>
            <w:tcW w:w="491" w:type="pct"/>
            <w:vMerge w:val="continue"/>
            <w:tcBorders>
              <w:top w:val="nil"/>
            </w:tcBorders>
            <w:vAlign w:val="top"/>
          </w:tcPr>
          <w:p w14:paraId="0920A0A3">
            <w:pPr>
              <w:rPr>
                <w:rFonts w:ascii="Arial"/>
                <w:sz w:val="21"/>
              </w:rPr>
            </w:pPr>
          </w:p>
        </w:tc>
        <w:tc>
          <w:tcPr>
            <w:tcW w:w="212" w:type="pct"/>
            <w:vMerge w:val="continue"/>
            <w:tcBorders>
              <w:top w:val="nil"/>
            </w:tcBorders>
            <w:vAlign w:val="top"/>
          </w:tcPr>
          <w:p w14:paraId="12CFD5C4">
            <w:pPr>
              <w:rPr>
                <w:rFonts w:ascii="Arial"/>
                <w:sz w:val="21"/>
              </w:rPr>
            </w:pPr>
          </w:p>
        </w:tc>
      </w:tr>
      <w:tr w14:paraId="10552E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69" w:type="pct"/>
            <w:vAlign w:val="top"/>
          </w:tcPr>
          <w:p w14:paraId="40471FF8">
            <w:pPr>
              <w:rPr>
                <w:rFonts w:ascii="Arial"/>
                <w:sz w:val="21"/>
              </w:rPr>
            </w:pPr>
          </w:p>
        </w:tc>
        <w:tc>
          <w:tcPr>
            <w:tcW w:w="408" w:type="pct"/>
            <w:vAlign w:val="top"/>
          </w:tcPr>
          <w:p w14:paraId="72A533D0">
            <w:pPr>
              <w:rPr>
                <w:rFonts w:ascii="Arial"/>
                <w:sz w:val="21"/>
              </w:rPr>
            </w:pPr>
          </w:p>
        </w:tc>
        <w:tc>
          <w:tcPr>
            <w:tcW w:w="1152" w:type="pct"/>
            <w:vAlign w:val="top"/>
          </w:tcPr>
          <w:p w14:paraId="71CD04A8">
            <w:pPr>
              <w:rPr>
                <w:rFonts w:ascii="Arial"/>
                <w:sz w:val="21"/>
              </w:rPr>
            </w:pPr>
          </w:p>
        </w:tc>
        <w:tc>
          <w:tcPr>
            <w:tcW w:w="469" w:type="pct"/>
            <w:vAlign w:val="top"/>
          </w:tcPr>
          <w:p w14:paraId="6C69250D">
            <w:pPr>
              <w:rPr>
                <w:rFonts w:ascii="Arial"/>
                <w:sz w:val="21"/>
              </w:rPr>
            </w:pPr>
          </w:p>
        </w:tc>
        <w:tc>
          <w:tcPr>
            <w:tcW w:w="333" w:type="pct"/>
            <w:vAlign w:val="top"/>
          </w:tcPr>
          <w:p w14:paraId="1528BE6B">
            <w:pPr>
              <w:rPr>
                <w:rFonts w:ascii="Arial"/>
                <w:sz w:val="21"/>
              </w:rPr>
            </w:pPr>
          </w:p>
        </w:tc>
        <w:tc>
          <w:tcPr>
            <w:tcW w:w="231" w:type="pct"/>
            <w:vAlign w:val="top"/>
          </w:tcPr>
          <w:p w14:paraId="32E53326">
            <w:pPr>
              <w:rPr>
                <w:rFonts w:ascii="Arial"/>
                <w:sz w:val="21"/>
              </w:rPr>
            </w:pPr>
          </w:p>
        </w:tc>
        <w:tc>
          <w:tcPr>
            <w:tcW w:w="233" w:type="pct"/>
            <w:vAlign w:val="top"/>
          </w:tcPr>
          <w:p w14:paraId="22A08417">
            <w:pPr>
              <w:rPr>
                <w:rFonts w:ascii="Arial"/>
                <w:sz w:val="21"/>
              </w:rPr>
            </w:pPr>
          </w:p>
        </w:tc>
        <w:tc>
          <w:tcPr>
            <w:tcW w:w="174" w:type="pct"/>
            <w:vAlign w:val="top"/>
          </w:tcPr>
          <w:p w14:paraId="7820B27C">
            <w:pPr>
              <w:rPr>
                <w:rFonts w:ascii="Arial"/>
                <w:sz w:val="21"/>
              </w:rPr>
            </w:pPr>
          </w:p>
        </w:tc>
        <w:tc>
          <w:tcPr>
            <w:tcW w:w="195" w:type="pct"/>
            <w:vAlign w:val="top"/>
          </w:tcPr>
          <w:p w14:paraId="20566243">
            <w:pPr>
              <w:rPr>
                <w:rFonts w:ascii="Arial"/>
                <w:sz w:val="21"/>
              </w:rPr>
            </w:pPr>
          </w:p>
        </w:tc>
        <w:tc>
          <w:tcPr>
            <w:tcW w:w="109" w:type="pct"/>
            <w:vAlign w:val="top"/>
          </w:tcPr>
          <w:p w14:paraId="02538428">
            <w:pPr>
              <w:rPr>
                <w:rFonts w:ascii="Arial"/>
                <w:sz w:val="21"/>
              </w:rPr>
            </w:pPr>
          </w:p>
        </w:tc>
        <w:tc>
          <w:tcPr>
            <w:tcW w:w="109" w:type="pct"/>
            <w:vAlign w:val="top"/>
          </w:tcPr>
          <w:p w14:paraId="4AAE9898">
            <w:pPr>
              <w:rPr>
                <w:rFonts w:ascii="Arial"/>
                <w:sz w:val="21"/>
              </w:rPr>
            </w:pPr>
          </w:p>
        </w:tc>
        <w:tc>
          <w:tcPr>
            <w:tcW w:w="117" w:type="pct"/>
            <w:vAlign w:val="top"/>
          </w:tcPr>
          <w:p w14:paraId="0E2800E5">
            <w:pPr>
              <w:rPr>
                <w:rFonts w:ascii="Arial"/>
                <w:sz w:val="21"/>
              </w:rPr>
            </w:pPr>
          </w:p>
        </w:tc>
        <w:tc>
          <w:tcPr>
            <w:tcW w:w="109" w:type="pct"/>
            <w:vAlign w:val="top"/>
          </w:tcPr>
          <w:p w14:paraId="2C66AF8A">
            <w:pPr>
              <w:rPr>
                <w:rFonts w:ascii="Arial"/>
                <w:sz w:val="21"/>
              </w:rPr>
            </w:pPr>
          </w:p>
        </w:tc>
        <w:tc>
          <w:tcPr>
            <w:tcW w:w="225" w:type="pct"/>
            <w:vAlign w:val="top"/>
          </w:tcPr>
          <w:p w14:paraId="17D42435">
            <w:pPr>
              <w:rPr>
                <w:rFonts w:ascii="Arial"/>
                <w:sz w:val="21"/>
              </w:rPr>
            </w:pPr>
          </w:p>
        </w:tc>
        <w:tc>
          <w:tcPr>
            <w:tcW w:w="257" w:type="pct"/>
            <w:vAlign w:val="top"/>
          </w:tcPr>
          <w:p w14:paraId="10962B35">
            <w:pPr>
              <w:rPr>
                <w:rFonts w:ascii="Arial"/>
                <w:sz w:val="21"/>
              </w:rPr>
            </w:pPr>
          </w:p>
        </w:tc>
        <w:tc>
          <w:tcPr>
            <w:tcW w:w="491" w:type="pct"/>
            <w:vAlign w:val="top"/>
          </w:tcPr>
          <w:p w14:paraId="54FA2011">
            <w:pPr>
              <w:rPr>
                <w:rFonts w:ascii="Arial"/>
                <w:sz w:val="21"/>
              </w:rPr>
            </w:pPr>
          </w:p>
        </w:tc>
        <w:tc>
          <w:tcPr>
            <w:tcW w:w="212" w:type="pct"/>
            <w:vAlign w:val="top"/>
          </w:tcPr>
          <w:p w14:paraId="206D806A">
            <w:pPr>
              <w:rPr>
                <w:rFonts w:ascii="Arial"/>
                <w:sz w:val="21"/>
              </w:rPr>
            </w:pPr>
          </w:p>
        </w:tc>
      </w:tr>
    </w:tbl>
    <w:p w14:paraId="41856FE8">
      <w:pPr>
        <w:spacing w:before="25" w:line="220" w:lineRule="auto"/>
        <w:ind w:left="779"/>
        <w:rPr>
          <w:rFonts w:ascii="宋体" w:hAnsi="宋体" w:eastAsia="宋体" w:cs="宋体"/>
          <w:sz w:val="18"/>
          <w:szCs w:val="18"/>
        </w:rPr>
      </w:pPr>
      <w:r>
        <w:rPr>
          <w:rFonts w:ascii="宋体" w:hAnsi="宋体" w:eastAsia="宋体" w:cs="宋体"/>
          <w:spacing w:val="-9"/>
          <w:sz w:val="18"/>
          <w:szCs w:val="18"/>
        </w:rPr>
        <w:t>分析人：</w:t>
      </w:r>
      <w:r>
        <w:rPr>
          <w:rFonts w:ascii="宋体" w:hAnsi="宋体" w:eastAsia="宋体" w:cs="宋体"/>
          <w:spacing w:val="6"/>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审核人：</w:t>
      </w:r>
      <w:r>
        <w:rPr>
          <w:rFonts w:ascii="宋体" w:hAnsi="宋体" w:eastAsia="宋体" w:cs="宋体"/>
          <w:spacing w:val="4"/>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审定人：</w:t>
      </w:r>
      <w:r>
        <w:rPr>
          <w:rFonts w:ascii="宋体" w:hAnsi="宋体" w:eastAsia="宋体" w:cs="宋体"/>
          <w:spacing w:val="4"/>
          <w:sz w:val="18"/>
          <w:szCs w:val="18"/>
        </w:rPr>
        <w:t xml:space="preserve">        </w:t>
      </w:r>
      <w:r>
        <w:rPr>
          <w:rFonts w:ascii="宋体" w:hAnsi="宋体" w:eastAsia="宋体" w:cs="宋体"/>
          <w:spacing w:val="-9"/>
          <w:sz w:val="18"/>
          <w:szCs w:val="18"/>
        </w:rPr>
        <w:t>日期：</w:t>
      </w:r>
    </w:p>
    <w:p w14:paraId="0C2B2BC9">
      <w:pPr>
        <w:keepNext w:val="0"/>
        <w:keepLines w:val="0"/>
        <w:widowControl/>
        <w:suppressLineNumbers w:val="0"/>
        <w:spacing w:before="17" w:line="233" w:lineRule="auto"/>
        <w:ind w:left="327" w:right="316" w:firstLine="360"/>
        <w:jc w:val="both"/>
        <w:rPr>
          <w:rFonts w:hint="eastAsia" w:ascii="宋体" w:hAnsi="宋体" w:eastAsia="宋体" w:cs="宋体"/>
          <w:color w:val="000000"/>
          <w:kern w:val="0"/>
          <w:sz w:val="21"/>
          <w:szCs w:val="21"/>
          <w:lang w:val="en-US" w:eastAsia="zh-CN" w:bidi="ar"/>
        </w:rPr>
      </w:pPr>
      <w:r>
        <w:rPr>
          <w:rFonts w:ascii="宋体" w:hAnsi="宋体" w:eastAsia="宋体" w:cs="宋体"/>
          <w:spacing w:val="2"/>
          <w:sz w:val="18"/>
          <w:szCs w:val="18"/>
        </w:rPr>
        <w:t>填表说明：1、审核人为</w:t>
      </w:r>
      <w:r>
        <w:rPr>
          <w:rFonts w:hint="eastAsia" w:ascii="宋体" w:hAnsi="宋体" w:eastAsia="宋体" w:cs="宋体"/>
          <w:spacing w:val="2"/>
          <w:sz w:val="18"/>
          <w:szCs w:val="18"/>
          <w:lang w:val="en-US" w:eastAsia="zh-CN"/>
        </w:rPr>
        <w:t>监测机构安全员</w:t>
      </w:r>
      <w:r>
        <w:rPr>
          <w:rFonts w:ascii="宋体" w:hAnsi="宋体" w:eastAsia="宋体" w:cs="宋体"/>
          <w:spacing w:val="2"/>
          <w:sz w:val="18"/>
          <w:szCs w:val="18"/>
        </w:rPr>
        <w:t>，审</w:t>
      </w:r>
      <w:r>
        <w:rPr>
          <w:rFonts w:ascii="宋体" w:hAnsi="宋体" w:eastAsia="宋体" w:cs="宋体"/>
          <w:spacing w:val="1"/>
          <w:sz w:val="18"/>
          <w:szCs w:val="18"/>
        </w:rPr>
        <w:t>定人为</w:t>
      </w:r>
      <w:r>
        <w:rPr>
          <w:rFonts w:hint="eastAsia" w:ascii="宋体" w:hAnsi="宋体" w:eastAsia="宋体" w:cs="宋体"/>
          <w:spacing w:val="1"/>
          <w:sz w:val="18"/>
          <w:szCs w:val="18"/>
          <w:lang w:val="en-US" w:eastAsia="zh-CN"/>
        </w:rPr>
        <w:t>安全责任人</w:t>
      </w:r>
      <w:r>
        <w:rPr>
          <w:rFonts w:ascii="宋体" w:hAnsi="宋体" w:eastAsia="宋体" w:cs="宋体"/>
          <w:spacing w:val="1"/>
          <w:sz w:val="18"/>
          <w:szCs w:val="18"/>
        </w:rPr>
        <w:t>。2、评价级别是指运用风险评价方法，确定</w:t>
      </w:r>
      <w:r>
        <w:rPr>
          <w:rFonts w:ascii="宋体" w:hAnsi="宋体" w:eastAsia="宋体" w:cs="宋体"/>
          <w:sz w:val="18"/>
          <w:szCs w:val="18"/>
        </w:rPr>
        <w:t>的风险等级。3、管控级别是指按照风险等级规定的对应原则，划分的</w:t>
      </w:r>
      <w:r>
        <w:rPr>
          <w:rFonts w:ascii="宋体" w:hAnsi="宋体" w:eastAsia="宋体" w:cs="宋体"/>
          <w:spacing w:val="-1"/>
          <w:sz w:val="18"/>
          <w:szCs w:val="18"/>
        </w:rPr>
        <w:t>重大风险、较大风险、一般风险和低风险，分别用“红、橙、黄、蓝”标识。</w:t>
      </w:r>
    </w:p>
    <w:p w14:paraId="20496853">
      <w:pPr>
        <w:keepNext w:val="0"/>
        <w:keepLines w:val="0"/>
        <w:widowControl/>
        <w:suppressLineNumbers w:val="0"/>
        <w:jc w:val="left"/>
      </w:pPr>
      <w:r>
        <w:rPr>
          <w:rFonts w:hint="eastAsia" w:ascii="黑体" w:hAnsi="宋体" w:eastAsia="黑体" w:cs="黑体"/>
          <w:color w:val="000000"/>
          <w:kern w:val="0"/>
          <w:sz w:val="21"/>
          <w:szCs w:val="21"/>
          <w:lang w:val="en-US" w:eastAsia="zh-CN" w:bidi="ar"/>
        </w:rPr>
        <w:t xml:space="preserve">A.2 监测活动划分 </w:t>
      </w:r>
    </w:p>
    <w:p w14:paraId="28E369DB">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按现场监测、实验室监测、自动监测、应急监测、辐射监测划分。包括但不限于： </w:t>
      </w:r>
    </w:p>
    <w:p w14:paraId="66EA0C63">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——日常操作：设备设施操作、化学试剂使用、现场巡查； </w:t>
      </w:r>
    </w:p>
    <w:p w14:paraId="7589AD54">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——异常情况处理：停水、停电、停气的处理，设备故障处理； </w:t>
      </w:r>
    </w:p>
    <w:p w14:paraId="6B995CC0">
      <w:pPr>
        <w:keepNext w:val="0"/>
        <w:keepLines w:val="0"/>
        <w:widowControl/>
        <w:suppressLineNumbers w:val="0"/>
        <w:ind w:left="840" w:leftChars="200" w:hanging="420" w:hangingChars="200"/>
        <w:jc w:val="left"/>
      </w:pPr>
      <w:r>
        <w:rPr>
          <w:rFonts w:hint="eastAsia" w:ascii="宋体" w:hAnsi="宋体" w:eastAsia="宋体" w:cs="宋体"/>
          <w:color w:val="000000"/>
          <w:kern w:val="0"/>
          <w:sz w:val="21"/>
          <w:szCs w:val="21"/>
          <w:lang w:val="en-US" w:eastAsia="zh-CN" w:bidi="ar"/>
        </w:rPr>
        <w:t xml:space="preserve">——作业活动：涉水、涉电、高处作业、高压气瓶、无人设备等特殊作业；应急监测，危险化学品泄露、辐射等危险作业； </w:t>
      </w:r>
    </w:p>
    <w:p w14:paraId="1CFA50F6">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——管理活动：变更管理、现场监督检查、应急演练等。 </w:t>
      </w:r>
    </w:p>
    <w:p w14:paraId="7E21DF5B">
      <w:pPr>
        <w:keepNext w:val="0"/>
        <w:keepLines w:val="0"/>
        <w:widowControl/>
        <w:suppressLineNumbers w:val="0"/>
        <w:ind w:firstLine="420" w:firstLineChars="200"/>
        <w:jc w:val="left"/>
      </w:pPr>
    </w:p>
    <w:p w14:paraId="5E6D9F41">
      <w:pPr>
        <w:keepNext w:val="0"/>
        <w:keepLines w:val="0"/>
        <w:widowControl/>
        <w:suppressLineNumbers w:val="0"/>
        <w:jc w:val="left"/>
      </w:pPr>
      <w:r>
        <w:rPr>
          <w:rFonts w:hint="eastAsia" w:ascii="黑体" w:hAnsi="宋体" w:eastAsia="黑体" w:cs="黑体"/>
          <w:color w:val="000000"/>
          <w:kern w:val="0"/>
          <w:sz w:val="21"/>
          <w:szCs w:val="21"/>
          <w:lang w:val="en-US" w:eastAsia="zh-CN" w:bidi="ar"/>
        </w:rPr>
        <w:t xml:space="preserve">A.3 工作危害分析（JHA）评价步骤 </w:t>
      </w:r>
    </w:p>
    <w:p w14:paraId="36FBB563">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评价步骤如下： </w:t>
      </w:r>
    </w:p>
    <w:p w14:paraId="0E0B52DC">
      <w:pPr>
        <w:keepNext w:val="0"/>
        <w:keepLines w:val="0"/>
        <w:widowControl/>
        <w:suppressLineNumbers w:val="0"/>
        <w:ind w:firstLine="380" w:firstLineChars="200"/>
        <w:jc w:val="left"/>
      </w:pPr>
      <w:r>
        <w:rPr>
          <w:rFonts w:hint="eastAsia" w:ascii="宋体" w:hAnsi="宋体" w:eastAsia="宋体" w:cs="宋体"/>
          <w:color w:val="000000"/>
          <w:kern w:val="0"/>
          <w:sz w:val="19"/>
          <w:szCs w:val="19"/>
          <w:lang w:val="en-US" w:eastAsia="zh-CN" w:bidi="ar"/>
        </w:rPr>
        <w:t xml:space="preserve">a) </w:t>
      </w:r>
      <w:r>
        <w:rPr>
          <w:rFonts w:hint="eastAsia" w:ascii="宋体" w:hAnsi="宋体" w:eastAsia="宋体" w:cs="宋体"/>
          <w:color w:val="000000"/>
          <w:kern w:val="0"/>
          <w:sz w:val="21"/>
          <w:szCs w:val="21"/>
          <w:lang w:val="en-US" w:eastAsia="zh-CN" w:bidi="ar"/>
        </w:rPr>
        <w:t xml:space="preserve">将生态环境监测活动分解为若干个相连的工作步骤； </w:t>
      </w:r>
    </w:p>
    <w:p w14:paraId="668F5AD1">
      <w:pPr>
        <w:keepNext w:val="0"/>
        <w:keepLines w:val="0"/>
        <w:widowControl/>
        <w:suppressLineNumbers w:val="0"/>
        <w:ind w:firstLine="380" w:firstLineChars="200"/>
        <w:jc w:val="left"/>
      </w:pPr>
      <w:r>
        <w:rPr>
          <w:rFonts w:hint="eastAsia" w:ascii="宋体" w:hAnsi="宋体" w:eastAsia="宋体" w:cs="宋体"/>
          <w:color w:val="000000"/>
          <w:kern w:val="0"/>
          <w:sz w:val="19"/>
          <w:szCs w:val="19"/>
          <w:lang w:val="en-US" w:eastAsia="zh-CN" w:bidi="ar"/>
        </w:rPr>
        <w:t xml:space="preserve">b) </w:t>
      </w:r>
      <w:r>
        <w:rPr>
          <w:rFonts w:hint="eastAsia" w:ascii="宋体" w:hAnsi="宋体" w:eastAsia="宋体" w:cs="宋体"/>
          <w:color w:val="000000"/>
          <w:kern w:val="0"/>
          <w:sz w:val="21"/>
          <w:szCs w:val="21"/>
          <w:lang w:val="en-US" w:eastAsia="zh-CN" w:bidi="ar"/>
        </w:rPr>
        <w:t xml:space="preserve">根据 GB/T 13861 的规定，辨识每一步骤的危险源及潜在事件； </w:t>
      </w:r>
    </w:p>
    <w:p w14:paraId="52B22F16">
      <w:pPr>
        <w:keepNext w:val="0"/>
        <w:keepLines w:val="0"/>
        <w:widowControl/>
        <w:suppressLineNumbers w:val="0"/>
        <w:ind w:firstLine="380" w:firstLineChars="200"/>
        <w:jc w:val="left"/>
      </w:pPr>
      <w:r>
        <w:rPr>
          <w:rFonts w:hint="eastAsia" w:ascii="宋体" w:hAnsi="宋体" w:eastAsia="宋体" w:cs="宋体"/>
          <w:color w:val="000000"/>
          <w:kern w:val="0"/>
          <w:sz w:val="19"/>
          <w:szCs w:val="19"/>
          <w:lang w:val="en-US" w:eastAsia="zh-CN" w:bidi="ar"/>
        </w:rPr>
        <w:t xml:space="preserve">c) </w:t>
      </w:r>
      <w:r>
        <w:rPr>
          <w:rFonts w:hint="eastAsia" w:ascii="宋体" w:hAnsi="宋体" w:eastAsia="宋体" w:cs="宋体"/>
          <w:color w:val="000000"/>
          <w:kern w:val="0"/>
          <w:sz w:val="21"/>
          <w:szCs w:val="21"/>
          <w:lang w:val="en-US" w:eastAsia="zh-CN" w:bidi="ar"/>
        </w:rPr>
        <w:t xml:space="preserve">根据 GB 6441 规定，分析造成的后果； </w:t>
      </w:r>
    </w:p>
    <w:p w14:paraId="4681E9E2">
      <w:pPr>
        <w:keepNext w:val="0"/>
        <w:keepLines w:val="0"/>
        <w:widowControl/>
        <w:suppressLineNumbers w:val="0"/>
        <w:ind w:left="758" w:leftChars="180" w:hanging="380" w:hangingChars="200"/>
        <w:jc w:val="left"/>
      </w:pPr>
      <w:r>
        <w:rPr>
          <w:rFonts w:hint="eastAsia" w:ascii="宋体" w:hAnsi="宋体" w:eastAsia="宋体" w:cs="宋体"/>
          <w:color w:val="000000"/>
          <w:kern w:val="0"/>
          <w:sz w:val="19"/>
          <w:szCs w:val="19"/>
          <w:lang w:val="en-US" w:eastAsia="zh-CN" w:bidi="ar"/>
        </w:rPr>
        <w:t xml:space="preserve">d) </w:t>
      </w:r>
      <w:r>
        <w:rPr>
          <w:rFonts w:hint="eastAsia" w:ascii="宋体" w:hAnsi="宋体" w:eastAsia="宋体" w:cs="宋体"/>
          <w:color w:val="000000"/>
          <w:kern w:val="0"/>
          <w:sz w:val="21"/>
          <w:szCs w:val="21"/>
          <w:lang w:val="en-US" w:eastAsia="zh-CN" w:bidi="ar"/>
        </w:rPr>
        <w:t xml:space="preserve">识别现有控制措施。从工程控制、管理措施、培训教育、个体防护、应急处置等方面评估现有控制措施的有效性； </w:t>
      </w:r>
    </w:p>
    <w:p w14:paraId="6E7D0E46">
      <w:pPr>
        <w:keepNext w:val="0"/>
        <w:keepLines w:val="0"/>
        <w:widowControl/>
        <w:suppressLineNumbers w:val="0"/>
        <w:ind w:firstLine="380" w:firstLineChars="200"/>
        <w:jc w:val="left"/>
      </w:pPr>
      <w:r>
        <w:rPr>
          <w:rFonts w:hint="eastAsia" w:ascii="宋体" w:hAnsi="宋体" w:eastAsia="宋体" w:cs="宋体"/>
          <w:color w:val="000000"/>
          <w:kern w:val="0"/>
          <w:sz w:val="19"/>
          <w:szCs w:val="19"/>
          <w:lang w:val="en-US" w:eastAsia="zh-CN" w:bidi="ar"/>
        </w:rPr>
        <w:t xml:space="preserve">e) </w:t>
      </w:r>
      <w:r>
        <w:rPr>
          <w:rFonts w:hint="eastAsia" w:ascii="宋体" w:hAnsi="宋体" w:eastAsia="宋体" w:cs="宋体"/>
          <w:color w:val="000000"/>
          <w:kern w:val="0"/>
          <w:sz w:val="21"/>
          <w:szCs w:val="21"/>
          <w:lang w:val="en-US" w:eastAsia="zh-CN" w:bidi="ar"/>
        </w:rPr>
        <w:t xml:space="preserve">根据风险判定准则评估风险，判定等级； </w:t>
      </w:r>
    </w:p>
    <w:p w14:paraId="31173BC3">
      <w:pPr>
        <w:keepNext w:val="0"/>
        <w:keepLines w:val="0"/>
        <w:widowControl/>
        <w:suppressLineNumbers w:val="0"/>
        <w:ind w:firstLine="38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19"/>
          <w:szCs w:val="19"/>
          <w:lang w:val="en-US" w:eastAsia="zh-CN" w:bidi="ar"/>
        </w:rPr>
        <w:t xml:space="preserve">f) </w:t>
      </w:r>
      <w:r>
        <w:rPr>
          <w:rFonts w:hint="eastAsia" w:ascii="宋体" w:hAnsi="宋体" w:eastAsia="宋体" w:cs="宋体"/>
          <w:color w:val="000000"/>
          <w:kern w:val="0"/>
          <w:sz w:val="21"/>
          <w:szCs w:val="21"/>
          <w:lang w:val="en-US" w:eastAsia="zh-CN" w:bidi="ar"/>
        </w:rPr>
        <w:t>将分析结果，填入《工作危害分析（JHA）评价记录》中。</w:t>
      </w:r>
    </w:p>
    <w:p w14:paraId="5FE87FAF">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34F77000">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35198182">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62404354">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7B1E136B">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75C10CCA">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5F5C5905">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0CB7E549">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1BCE0BED">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320C6FDD">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5E504D30">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4DA6CAFC">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3CF9AA4F">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67660C4C">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0B58E2A8">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39FB2E33">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p>
    <w:p w14:paraId="1BF7E560">
      <w:pPr>
        <w:pStyle w:val="41"/>
        <w:ind w:firstLine="420"/>
      </w:pPr>
    </w:p>
    <w:p w14:paraId="30ECF191">
      <w:pPr>
        <w:pStyle w:val="41"/>
        <w:ind w:firstLine="420"/>
      </w:pPr>
    </w:p>
    <w:p w14:paraId="0E3E7FC0">
      <w:pPr>
        <w:pStyle w:val="41"/>
        <w:ind w:firstLine="420"/>
      </w:pPr>
    </w:p>
    <w:p w14:paraId="7FA36339">
      <w:pPr>
        <w:pStyle w:val="41"/>
        <w:ind w:firstLine="420"/>
      </w:pPr>
    </w:p>
    <w:p w14:paraId="01CEEB5E">
      <w:pPr>
        <w:pStyle w:val="41"/>
        <w:ind w:firstLine="420"/>
      </w:pPr>
    </w:p>
    <w:p w14:paraId="71BE17EA">
      <w:pPr>
        <w:pStyle w:val="41"/>
        <w:ind w:firstLine="420"/>
      </w:pPr>
    </w:p>
    <w:p w14:paraId="2A6A6EDA">
      <w:pPr>
        <w:pStyle w:val="41"/>
        <w:ind w:firstLine="420"/>
      </w:pPr>
    </w:p>
    <w:p w14:paraId="601274D7">
      <w:pPr>
        <w:pStyle w:val="41"/>
        <w:ind w:firstLine="420"/>
      </w:pPr>
    </w:p>
    <w:p w14:paraId="5B73FF80">
      <w:pPr>
        <w:pStyle w:val="55"/>
        <w:numPr>
          <w:ilvl w:val="0"/>
          <w:numId w:val="0"/>
        </w:numPr>
        <w:tabs>
          <w:tab w:val="left" w:pos="360"/>
        </w:tabs>
        <w:spacing w:before="0" w:after="0"/>
        <w:rPr>
          <w:rFonts w:hint="eastAsia"/>
        </w:rPr>
      </w:pPr>
      <w:bookmarkStart w:id="186" w:name="_Toc28245"/>
      <w:bookmarkStart w:id="187" w:name="_Toc5955"/>
      <w:bookmarkStart w:id="188" w:name="_Toc10333"/>
      <w:bookmarkStart w:id="189" w:name="_Toc8398"/>
      <w:bookmarkStart w:id="190" w:name="_Toc27866"/>
      <w:bookmarkStart w:id="191" w:name="_Toc5104"/>
      <w:bookmarkStart w:id="192" w:name="_Toc3763"/>
    </w:p>
    <w:bookmarkEnd w:id="186"/>
    <w:bookmarkEnd w:id="187"/>
    <w:bookmarkEnd w:id="188"/>
    <w:bookmarkEnd w:id="189"/>
    <w:bookmarkEnd w:id="190"/>
    <w:bookmarkEnd w:id="191"/>
    <w:bookmarkEnd w:id="192"/>
    <w:p w14:paraId="0D42296C">
      <w:pPr>
        <w:pStyle w:val="41"/>
        <w:ind w:firstLine="420"/>
        <w:rPr>
          <w:rFonts w:hint="default"/>
          <w:lang w:val="en-US" w:eastAsia="zh-CN"/>
        </w:rPr>
      </w:pPr>
    </w:p>
    <w:p w14:paraId="4735B945">
      <w:pPr>
        <w:pStyle w:val="41"/>
        <w:ind w:firstLine="420"/>
        <w:rPr>
          <w:rFonts w:hint="default"/>
          <w:lang w:val="en-US" w:eastAsia="zh-CN"/>
        </w:rPr>
      </w:pPr>
    </w:p>
    <w:p w14:paraId="15CEFF59">
      <w:pPr>
        <w:pStyle w:val="41"/>
        <w:ind w:firstLine="420"/>
        <w:rPr>
          <w:rFonts w:hint="default"/>
          <w:lang w:val="en-US" w:eastAsia="zh-CN"/>
        </w:rPr>
      </w:pPr>
    </w:p>
    <w:p w14:paraId="513AD3AE">
      <w:pPr>
        <w:pStyle w:val="41"/>
        <w:ind w:firstLine="420"/>
        <w:rPr>
          <w:rFonts w:hint="default"/>
          <w:lang w:val="en-US" w:eastAsia="zh-CN"/>
        </w:rPr>
      </w:pPr>
    </w:p>
    <w:p w14:paraId="64E00DF8">
      <w:pPr>
        <w:pStyle w:val="41"/>
        <w:ind w:firstLine="420"/>
        <w:rPr>
          <w:rFonts w:hint="default"/>
          <w:lang w:val="en-US" w:eastAsia="zh-CN"/>
        </w:rPr>
      </w:pPr>
    </w:p>
    <w:p w14:paraId="317E244C">
      <w:pPr>
        <w:pStyle w:val="55"/>
        <w:numPr>
          <w:ilvl w:val="0"/>
          <w:numId w:val="0"/>
        </w:numPr>
        <w:shd w:val="clear" w:color="FFFFFF" w:fill="FFFFFF"/>
        <w:tabs>
          <w:tab w:val="left" w:pos="360"/>
        </w:tabs>
        <w:spacing w:before="0" w:after="0"/>
        <w:jc w:val="center"/>
        <w:outlineLvl w:val="0"/>
        <w:rPr>
          <w:rFonts w:hint="default" w:ascii="黑体" w:eastAsia="黑体" w:hAnsiTheme="minorHAnsi" w:cstheme="minorBidi"/>
          <w:sz w:val="21"/>
          <w:szCs w:val="20"/>
          <w:lang w:val="en-US" w:eastAsia="zh-CN" w:bidi="ar"/>
        </w:rPr>
      </w:pPr>
      <w:bookmarkStart w:id="193" w:name="_Toc11210"/>
      <w:bookmarkStart w:id="194" w:name="_Toc27240"/>
      <w:bookmarkStart w:id="195" w:name="_Toc32605"/>
      <w:bookmarkStart w:id="196" w:name="_Toc10013"/>
      <w:bookmarkStart w:id="197" w:name="_Toc19735"/>
      <w:r>
        <w:rPr>
          <w:rFonts w:hint="eastAsia" w:ascii="黑体" w:eastAsia="黑体" w:hAnsiTheme="minorHAnsi" w:cstheme="minorBidi"/>
          <w:spacing w:val="0"/>
          <w:sz w:val="21"/>
          <w:szCs w:val="20"/>
          <w:lang w:eastAsia="zh-CN" w:bidi="ar"/>
        </w:rPr>
        <w:t xml:space="preserve">附  录  </w:t>
      </w:r>
      <w:r>
        <w:rPr>
          <w:rFonts w:hint="default" w:ascii="黑体" w:eastAsia="黑体" w:hAnsiTheme="minorHAnsi" w:cstheme="minorBidi"/>
          <w:spacing w:val="0"/>
          <w:sz w:val="21"/>
          <w:szCs w:val="20"/>
          <w:lang w:val="en-US" w:eastAsia="zh-CN" w:bidi="ar"/>
        </w:rPr>
        <w:t>B</w:t>
      </w:r>
      <w:bookmarkEnd w:id="193"/>
      <w:bookmarkEnd w:id="194"/>
      <w:bookmarkEnd w:id="195"/>
      <w:bookmarkEnd w:id="196"/>
      <w:bookmarkEnd w:id="197"/>
    </w:p>
    <w:p w14:paraId="6D2A1A7C">
      <w:pPr>
        <w:pStyle w:val="55"/>
        <w:numPr>
          <w:ilvl w:val="0"/>
          <w:numId w:val="0"/>
        </w:numPr>
        <w:shd w:val="clear" w:color="FFFFFF" w:fill="FFFFFF"/>
        <w:tabs>
          <w:tab w:val="left" w:pos="360"/>
        </w:tabs>
        <w:spacing w:before="0" w:after="0"/>
        <w:ind w:left="3956"/>
        <w:jc w:val="both"/>
        <w:outlineLvl w:val="0"/>
        <w:rPr>
          <w:rFonts w:hint="eastAsia"/>
          <w:lang w:eastAsia="zh-CN" w:bidi="ar"/>
        </w:rPr>
      </w:pPr>
      <w:bookmarkStart w:id="198" w:name="bookmark69"/>
      <w:bookmarkEnd w:id="198"/>
      <w:bookmarkStart w:id="199" w:name="bookmark70"/>
      <w:bookmarkEnd w:id="199"/>
      <w:bookmarkStart w:id="200" w:name="_Toc2688"/>
      <w:bookmarkStart w:id="201" w:name="_Toc15283"/>
      <w:bookmarkStart w:id="202" w:name="_Toc27830"/>
      <w:bookmarkStart w:id="203" w:name="_Toc14420"/>
      <w:bookmarkStart w:id="204" w:name="_Toc22927"/>
      <w:r>
        <w:rPr>
          <w:rFonts w:hint="eastAsia"/>
          <w:lang w:eastAsia="zh-CN" w:bidi="ar"/>
        </w:rPr>
        <w:t>（资料性）</w:t>
      </w:r>
      <w:bookmarkEnd w:id="200"/>
      <w:bookmarkEnd w:id="201"/>
      <w:bookmarkEnd w:id="202"/>
      <w:bookmarkEnd w:id="203"/>
      <w:bookmarkEnd w:id="204"/>
    </w:p>
    <w:p w14:paraId="7EEEA959">
      <w:pPr>
        <w:pStyle w:val="55"/>
        <w:numPr>
          <w:ilvl w:val="0"/>
          <w:numId w:val="0"/>
        </w:numPr>
        <w:shd w:val="clear" w:color="FFFFFF" w:fill="FFFFFF"/>
        <w:tabs>
          <w:tab w:val="left" w:pos="360"/>
        </w:tabs>
        <w:spacing w:before="0" w:after="0"/>
        <w:ind w:left="3688"/>
        <w:jc w:val="both"/>
        <w:outlineLvl w:val="0"/>
        <w:rPr>
          <w:rFonts w:hint="eastAsia" w:ascii="黑体" w:eastAsia="黑体" w:hAnsiTheme="minorHAnsi" w:cstheme="minorBidi"/>
          <w:szCs w:val="20"/>
          <w:lang w:eastAsia="zh-CN" w:bidi="ar"/>
        </w:rPr>
      </w:pPr>
      <w:bookmarkStart w:id="205" w:name="bookmark69"/>
      <w:bookmarkEnd w:id="205"/>
      <w:bookmarkStart w:id="206" w:name="_Toc29079"/>
      <w:bookmarkStart w:id="207" w:name="_Toc6189"/>
      <w:bookmarkStart w:id="208" w:name="_Toc15229"/>
      <w:bookmarkStart w:id="209" w:name="_Toc27764"/>
      <w:bookmarkStart w:id="210" w:name="_Toc16879"/>
      <w:r>
        <w:rPr>
          <w:rFonts w:hint="eastAsia"/>
          <w:lang w:eastAsia="zh-CN" w:bidi="ar"/>
        </w:rPr>
        <w:t>安全检查表法（SCL）</w:t>
      </w:r>
      <w:bookmarkEnd w:id="206"/>
      <w:bookmarkEnd w:id="207"/>
      <w:bookmarkEnd w:id="208"/>
      <w:bookmarkEnd w:id="209"/>
      <w:bookmarkEnd w:id="210"/>
    </w:p>
    <w:p w14:paraId="52A8D08D">
      <w:pPr>
        <w:spacing w:before="69" w:line="222" w:lineRule="auto"/>
        <w:outlineLvl w:val="1"/>
        <w:rPr>
          <w:rFonts w:ascii="黑体" w:hAnsi="黑体" w:eastAsia="黑体" w:cs="黑体"/>
          <w:sz w:val="21"/>
          <w:szCs w:val="21"/>
        </w:rPr>
      </w:pPr>
      <w:r>
        <w:rPr>
          <w:rFonts w:hint="eastAsia" w:ascii="黑体" w:hAnsi="黑体" w:eastAsia="黑体" w:cs="黑体"/>
          <w:spacing w:val="-3"/>
          <w:sz w:val="21"/>
          <w:szCs w:val="21"/>
          <w:lang w:val="en-US" w:eastAsia="zh-CN"/>
        </w:rPr>
        <w:t>B</w:t>
      </w:r>
      <w:r>
        <w:rPr>
          <w:rFonts w:ascii="黑体" w:hAnsi="黑体" w:eastAsia="黑体" w:cs="黑体"/>
          <w:spacing w:val="-3"/>
          <w:sz w:val="21"/>
          <w:szCs w:val="21"/>
        </w:rPr>
        <w:t>.1</w:t>
      </w:r>
      <w:r>
        <w:rPr>
          <w:rFonts w:ascii="黑体" w:hAnsi="黑体" w:eastAsia="黑体" w:cs="黑体"/>
          <w:spacing w:val="8"/>
          <w:sz w:val="21"/>
          <w:szCs w:val="21"/>
        </w:rPr>
        <w:t xml:space="preserve">  </w:t>
      </w:r>
      <w:r>
        <w:rPr>
          <w:rFonts w:ascii="黑体" w:hAnsi="黑体" w:eastAsia="黑体" w:cs="黑体"/>
          <w:spacing w:val="-3"/>
          <w:sz w:val="21"/>
          <w:szCs w:val="21"/>
        </w:rPr>
        <w:t>方法概述</w:t>
      </w:r>
    </w:p>
    <w:p w14:paraId="3F8E07C4">
      <w:pPr>
        <w:spacing w:before="69" w:line="265" w:lineRule="auto"/>
        <w:ind w:firstLine="422"/>
        <w:jc w:val="both"/>
        <w:rPr>
          <w:rFonts w:ascii="宋体" w:hAnsi="宋体" w:eastAsia="宋体" w:cs="宋体"/>
          <w:spacing w:val="-1"/>
          <w:sz w:val="21"/>
          <w:szCs w:val="21"/>
        </w:rPr>
      </w:pPr>
    </w:p>
    <w:p w14:paraId="429F577E">
      <w:pPr>
        <w:spacing w:before="69" w:line="265" w:lineRule="auto"/>
        <w:ind w:firstLine="422"/>
        <w:jc w:val="both"/>
        <w:rPr>
          <w:rFonts w:ascii="宋体" w:hAnsi="宋体" w:eastAsia="宋体" w:cs="宋体"/>
          <w:spacing w:val="-1"/>
          <w:sz w:val="21"/>
          <w:szCs w:val="21"/>
        </w:rPr>
      </w:pPr>
      <w:r>
        <w:rPr>
          <w:rFonts w:ascii="宋体" w:hAnsi="宋体" w:eastAsia="宋体" w:cs="宋体"/>
          <w:spacing w:val="-1"/>
          <w:sz w:val="21"/>
          <w:szCs w:val="21"/>
        </w:rPr>
        <w:t>依据相关的标准、规范，对</w:t>
      </w:r>
      <w:r>
        <w:rPr>
          <w:rFonts w:hint="eastAsia" w:ascii="宋体" w:hAnsi="宋体" w:eastAsia="宋体" w:cs="宋体"/>
          <w:spacing w:val="-1"/>
          <w:sz w:val="21"/>
          <w:szCs w:val="21"/>
          <w:lang w:val="en-US" w:eastAsia="zh-CN"/>
        </w:rPr>
        <w:t>生态环境监测活动</w:t>
      </w:r>
      <w:r>
        <w:rPr>
          <w:rFonts w:ascii="宋体" w:hAnsi="宋体" w:eastAsia="宋体" w:cs="宋体"/>
          <w:spacing w:val="-1"/>
          <w:sz w:val="21"/>
          <w:szCs w:val="21"/>
        </w:rPr>
        <w:t>中已知的危险类别、</w:t>
      </w:r>
      <w:r>
        <w:rPr>
          <w:rFonts w:hint="eastAsia" w:ascii="宋体" w:hAnsi="宋体" w:eastAsia="宋体" w:cs="宋体"/>
          <w:spacing w:val="-1"/>
          <w:sz w:val="21"/>
          <w:szCs w:val="21"/>
          <w:lang w:val="en-US" w:eastAsia="zh-CN"/>
        </w:rPr>
        <w:t>设备</w:t>
      </w:r>
      <w:r>
        <w:rPr>
          <w:rFonts w:ascii="宋体" w:hAnsi="宋体" w:eastAsia="宋体" w:cs="宋体"/>
          <w:spacing w:val="-1"/>
          <w:sz w:val="21"/>
          <w:szCs w:val="21"/>
        </w:rPr>
        <w:t>设计缺陷以及与一般工艺设备、操作、</w:t>
      </w:r>
      <w:r>
        <w:rPr>
          <w:rFonts w:ascii="宋体" w:hAnsi="宋体" w:eastAsia="宋体" w:cs="宋体"/>
          <w:spacing w:val="-2"/>
          <w:sz w:val="21"/>
          <w:szCs w:val="21"/>
        </w:rPr>
        <w:t>管理有关的潜在危险有害因素进行判别检查。适用于对设备设施、</w:t>
      </w:r>
      <w:r>
        <w:rPr>
          <w:rFonts w:ascii="宋体" w:hAnsi="宋体" w:eastAsia="宋体" w:cs="宋体"/>
          <w:spacing w:val="-3"/>
          <w:sz w:val="21"/>
          <w:szCs w:val="21"/>
        </w:rPr>
        <w:t>安全间距、作业环境等存</w:t>
      </w:r>
      <w:r>
        <w:rPr>
          <w:rFonts w:ascii="宋体" w:hAnsi="宋体" w:eastAsia="宋体" w:cs="宋体"/>
          <w:sz w:val="21"/>
          <w:szCs w:val="21"/>
        </w:rPr>
        <w:t>在的风险进行分析。包括编制安全检查表、列出设备设施清单、进行危险源辨识等步</w:t>
      </w:r>
      <w:r>
        <w:rPr>
          <w:rFonts w:ascii="宋体" w:hAnsi="宋体" w:eastAsia="宋体" w:cs="宋体"/>
          <w:spacing w:val="-1"/>
          <w:sz w:val="21"/>
          <w:szCs w:val="21"/>
        </w:rPr>
        <w:t>骤。</w:t>
      </w:r>
    </w:p>
    <w:p w14:paraId="00243DE3">
      <w:pPr>
        <w:pStyle w:val="79"/>
        <w:numPr>
          <w:ilvl w:val="0"/>
          <w:numId w:val="0"/>
        </w:numPr>
        <w:tabs>
          <w:tab w:val="left" w:pos="180"/>
        </w:tabs>
        <w:spacing w:before="156" w:after="156"/>
        <w:ind w:left="3038"/>
        <w:jc w:val="both"/>
        <w:outlineLvl w:val="0"/>
        <w:rPr>
          <w:rFonts w:ascii="黑体" w:hAnsi="黑体" w:eastAsia="黑体" w:cs="黑体"/>
          <w:sz w:val="21"/>
          <w:szCs w:val="21"/>
        </w:rPr>
      </w:pPr>
      <w:bookmarkStart w:id="211" w:name="_Toc5594"/>
      <w:bookmarkStart w:id="212" w:name="_Toc21603"/>
      <w:bookmarkStart w:id="213" w:name="_Toc25228"/>
      <w:bookmarkStart w:id="214" w:name="_Toc684"/>
      <w:bookmarkStart w:id="215" w:name="_Toc31334"/>
      <w:r>
        <w:rPr>
          <w:rFonts w:hint="eastAsia" w:ascii="黑体" w:hAnsi="Times New Roman" w:eastAsia="黑体" w:cs="Times New Roman"/>
          <w:spacing w:val="0"/>
          <w:sz w:val="21"/>
          <w:szCs w:val="20"/>
        </w:rPr>
        <w:t xml:space="preserve">表 </w:t>
      </w:r>
      <w:r>
        <w:rPr>
          <w:rFonts w:hint="eastAsia" w:ascii="黑体" w:hAnsi="Times New Roman" w:eastAsia="黑体" w:cs="Times New Roman"/>
          <w:spacing w:val="0"/>
          <w:sz w:val="21"/>
          <w:szCs w:val="20"/>
          <w:lang w:val="en-US" w:eastAsia="zh-CN"/>
        </w:rPr>
        <w:t>B.</w:t>
      </w:r>
      <w:r>
        <w:rPr>
          <w:rFonts w:hint="eastAsia" w:ascii="黑体" w:hAnsi="Times New Roman" w:eastAsia="黑体" w:cs="Times New Roman"/>
          <w:spacing w:val="0"/>
          <w:sz w:val="21"/>
          <w:szCs w:val="20"/>
        </w:rPr>
        <w:t xml:space="preserve">1 </w:t>
      </w:r>
      <w:r>
        <w:rPr>
          <w:rFonts w:hint="eastAsia" w:ascii="黑体" w:hAnsi="Times New Roman" w:eastAsia="黑体" w:cs="Times New Roman"/>
          <w:spacing w:val="0"/>
          <w:sz w:val="21"/>
          <w:szCs w:val="20"/>
          <w:lang w:val="en-US" w:eastAsia="zh-CN"/>
        </w:rPr>
        <w:t>安全检查表分析</w:t>
      </w:r>
      <w:r>
        <w:rPr>
          <w:rFonts w:hint="eastAsia" w:ascii="黑体" w:hAnsi="Times New Roman" w:eastAsia="黑体" w:cs="Times New Roman"/>
          <w:spacing w:val="0"/>
          <w:sz w:val="21"/>
          <w:szCs w:val="20"/>
        </w:rPr>
        <w:t>（</w:t>
      </w:r>
      <w:r>
        <w:rPr>
          <w:rFonts w:hint="eastAsia" w:ascii="黑体" w:hAnsi="Times New Roman" w:eastAsia="黑体" w:cs="Times New Roman"/>
          <w:spacing w:val="0"/>
          <w:sz w:val="21"/>
          <w:szCs w:val="20"/>
          <w:lang w:val="en-US" w:eastAsia="zh-CN"/>
        </w:rPr>
        <w:t>SCL</w:t>
      </w:r>
      <w:r>
        <w:rPr>
          <w:rFonts w:hint="eastAsia" w:ascii="黑体" w:hAnsi="Times New Roman" w:eastAsia="黑体" w:cs="Times New Roman"/>
          <w:spacing w:val="0"/>
          <w:sz w:val="21"/>
          <w:szCs w:val="20"/>
        </w:rPr>
        <w:t>+LEC）评价记录</w:t>
      </w:r>
      <w:bookmarkEnd w:id="211"/>
      <w:bookmarkEnd w:id="212"/>
      <w:bookmarkEnd w:id="213"/>
      <w:bookmarkEnd w:id="214"/>
      <w:bookmarkEnd w:id="215"/>
    </w:p>
    <w:p w14:paraId="54FF2CB7">
      <w:pPr>
        <w:spacing w:before="188" w:line="213" w:lineRule="auto"/>
        <w:rPr>
          <w:rFonts w:ascii="宋体" w:hAnsi="宋体" w:eastAsia="宋体" w:cs="宋体"/>
          <w:sz w:val="18"/>
          <w:szCs w:val="18"/>
        </w:rPr>
      </w:pPr>
      <w:r>
        <w:rPr>
          <w:rFonts w:ascii="宋体" w:hAnsi="宋体" w:eastAsia="宋体" w:cs="宋体"/>
          <w:sz w:val="18"/>
          <w:szCs w:val="18"/>
        </w:rPr>
        <w:t xml:space="preserve">（记录受控号）单位：             岗位：        风险点（区域/装置/设备/设施）名称：          </w:t>
      </w:r>
      <w:r>
        <w:rPr>
          <w:rFonts w:ascii="宋体" w:hAnsi="宋体" w:eastAsia="宋体" w:cs="宋体"/>
          <w:spacing w:val="-1"/>
          <w:sz w:val="18"/>
          <w:szCs w:val="18"/>
        </w:rPr>
        <w:t xml:space="preserve">    No：</w:t>
      </w:r>
    </w:p>
    <w:tbl>
      <w:tblPr>
        <w:tblStyle w:val="14"/>
        <w:tblW w:w="5245"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8"/>
        <w:gridCol w:w="747"/>
        <w:gridCol w:w="1585"/>
        <w:gridCol w:w="1189"/>
        <w:gridCol w:w="551"/>
        <w:gridCol w:w="521"/>
        <w:gridCol w:w="402"/>
        <w:gridCol w:w="326"/>
        <w:gridCol w:w="408"/>
        <w:gridCol w:w="206"/>
        <w:gridCol w:w="204"/>
        <w:gridCol w:w="206"/>
        <w:gridCol w:w="240"/>
        <w:gridCol w:w="442"/>
        <w:gridCol w:w="508"/>
        <w:gridCol w:w="1102"/>
        <w:gridCol w:w="480"/>
      </w:tblGrid>
      <w:tr w14:paraId="6B9B8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jc w:val="center"/>
        </w:trPr>
        <w:tc>
          <w:tcPr>
            <w:tcW w:w="168" w:type="pct"/>
            <w:vMerge w:val="restart"/>
            <w:tcBorders>
              <w:bottom w:val="nil"/>
            </w:tcBorders>
            <w:textDirection w:val="tbRlV"/>
            <w:vAlign w:val="top"/>
          </w:tcPr>
          <w:p w14:paraId="3A0DF07D">
            <w:pPr>
              <w:pStyle w:val="80"/>
              <w:spacing w:before="2" w:line="210" w:lineRule="auto"/>
              <w:ind w:left="543"/>
            </w:pPr>
            <w:r>
              <w:rPr>
                <w:spacing w:val="26"/>
              </w:rPr>
              <w:t>序号</w:t>
            </w:r>
          </w:p>
        </w:tc>
        <w:tc>
          <w:tcPr>
            <w:tcW w:w="395" w:type="pct"/>
            <w:vMerge w:val="restart"/>
            <w:tcBorders>
              <w:bottom w:val="nil"/>
            </w:tcBorders>
            <w:vAlign w:val="center"/>
          </w:tcPr>
          <w:p w14:paraId="778F6108">
            <w:pPr>
              <w:spacing w:line="338" w:lineRule="auto"/>
              <w:jc w:val="center"/>
              <w:rPr>
                <w:rFonts w:ascii="Arial"/>
                <w:sz w:val="21"/>
              </w:rPr>
            </w:pPr>
          </w:p>
          <w:p w14:paraId="0501192D">
            <w:pPr>
              <w:pStyle w:val="80"/>
              <w:spacing w:before="59" w:line="220" w:lineRule="auto"/>
              <w:ind w:left="67" w:leftChars="0"/>
              <w:jc w:val="center"/>
            </w:pPr>
            <w:r>
              <w:rPr>
                <w:spacing w:val="-2"/>
              </w:rPr>
              <w:t>检查项目</w:t>
            </w:r>
          </w:p>
        </w:tc>
        <w:tc>
          <w:tcPr>
            <w:tcW w:w="839" w:type="pct"/>
            <w:vMerge w:val="restart"/>
            <w:tcBorders>
              <w:bottom w:val="nil"/>
            </w:tcBorders>
            <w:vAlign w:val="center"/>
          </w:tcPr>
          <w:p w14:paraId="161F8DE4">
            <w:pPr>
              <w:spacing w:line="339" w:lineRule="auto"/>
              <w:jc w:val="center"/>
              <w:rPr>
                <w:rFonts w:ascii="Arial"/>
                <w:sz w:val="21"/>
              </w:rPr>
            </w:pPr>
          </w:p>
          <w:p w14:paraId="56CA35CC">
            <w:pPr>
              <w:pStyle w:val="80"/>
              <w:spacing w:before="58" w:line="220" w:lineRule="auto"/>
              <w:ind w:left="103" w:leftChars="0"/>
              <w:jc w:val="center"/>
            </w:pPr>
            <w:r>
              <w:rPr>
                <w:spacing w:val="-2"/>
              </w:rPr>
              <w:t>标准</w:t>
            </w:r>
          </w:p>
        </w:tc>
        <w:tc>
          <w:tcPr>
            <w:tcW w:w="629" w:type="pct"/>
            <w:vMerge w:val="restart"/>
            <w:tcBorders>
              <w:bottom w:val="nil"/>
            </w:tcBorders>
            <w:vAlign w:val="center"/>
          </w:tcPr>
          <w:p w14:paraId="0236B0BC">
            <w:pPr>
              <w:pStyle w:val="80"/>
              <w:spacing w:before="281" w:line="231" w:lineRule="auto"/>
              <w:ind w:left="46" w:leftChars="0" w:right="49" w:rightChars="0" w:firstLine="2" w:firstLineChars="0"/>
              <w:jc w:val="center"/>
            </w:pPr>
            <w:r>
              <w:rPr>
                <w:spacing w:val="-2"/>
              </w:rPr>
              <w:t>不符合标准</w:t>
            </w:r>
            <w:r>
              <w:t xml:space="preserve"> </w:t>
            </w:r>
            <w:r>
              <w:rPr>
                <w:spacing w:val="-2"/>
              </w:rPr>
              <w:t>情况及后果</w:t>
            </w:r>
          </w:p>
        </w:tc>
        <w:tc>
          <w:tcPr>
            <w:tcW w:w="1170" w:type="pct"/>
            <w:gridSpan w:val="5"/>
            <w:vAlign w:val="top"/>
          </w:tcPr>
          <w:p w14:paraId="24913D87">
            <w:pPr>
              <w:pStyle w:val="80"/>
              <w:spacing w:before="188" w:line="220" w:lineRule="auto"/>
              <w:ind w:left="573"/>
            </w:pPr>
            <w:r>
              <w:rPr>
                <w:spacing w:val="-2"/>
              </w:rPr>
              <w:t>现有控制措施</w:t>
            </w:r>
          </w:p>
        </w:tc>
        <w:tc>
          <w:tcPr>
            <w:tcW w:w="109" w:type="pct"/>
            <w:vMerge w:val="restart"/>
            <w:tcBorders>
              <w:bottom w:val="nil"/>
            </w:tcBorders>
            <w:vAlign w:val="top"/>
          </w:tcPr>
          <w:p w14:paraId="26572A99">
            <w:pPr>
              <w:spacing w:line="315" w:lineRule="auto"/>
              <w:rPr>
                <w:rFonts w:ascii="Arial"/>
                <w:sz w:val="21"/>
              </w:rPr>
            </w:pPr>
          </w:p>
          <w:p w14:paraId="51357CE3">
            <w:pPr>
              <w:spacing w:line="315" w:lineRule="auto"/>
              <w:rPr>
                <w:rFonts w:ascii="Arial"/>
                <w:sz w:val="21"/>
              </w:rPr>
            </w:pPr>
          </w:p>
          <w:p w14:paraId="14001117">
            <w:pPr>
              <w:pStyle w:val="80"/>
              <w:spacing w:before="58" w:line="180" w:lineRule="auto"/>
              <w:ind w:left="110"/>
            </w:pPr>
            <w:r>
              <w:t>L</w:t>
            </w:r>
          </w:p>
        </w:tc>
        <w:tc>
          <w:tcPr>
            <w:tcW w:w="108" w:type="pct"/>
            <w:vMerge w:val="restart"/>
            <w:tcBorders>
              <w:bottom w:val="nil"/>
            </w:tcBorders>
            <w:vAlign w:val="top"/>
          </w:tcPr>
          <w:p w14:paraId="3210E691">
            <w:pPr>
              <w:spacing w:line="315" w:lineRule="auto"/>
              <w:rPr>
                <w:rFonts w:ascii="Arial"/>
                <w:sz w:val="21"/>
              </w:rPr>
            </w:pPr>
          </w:p>
          <w:p w14:paraId="4845F86B">
            <w:pPr>
              <w:spacing w:line="315" w:lineRule="auto"/>
              <w:rPr>
                <w:rFonts w:ascii="Arial"/>
                <w:sz w:val="21"/>
              </w:rPr>
            </w:pPr>
          </w:p>
          <w:p w14:paraId="7B3F9EB8">
            <w:pPr>
              <w:pStyle w:val="80"/>
              <w:spacing w:before="58" w:line="180" w:lineRule="auto"/>
              <w:ind w:left="109"/>
            </w:pPr>
            <w:r>
              <w:t>E</w:t>
            </w:r>
          </w:p>
        </w:tc>
        <w:tc>
          <w:tcPr>
            <w:tcW w:w="109" w:type="pct"/>
            <w:vMerge w:val="restart"/>
            <w:tcBorders>
              <w:bottom w:val="nil"/>
            </w:tcBorders>
            <w:vAlign w:val="top"/>
          </w:tcPr>
          <w:p w14:paraId="48B247D8">
            <w:pPr>
              <w:spacing w:line="314" w:lineRule="auto"/>
              <w:rPr>
                <w:rFonts w:ascii="Arial"/>
                <w:sz w:val="21"/>
              </w:rPr>
            </w:pPr>
          </w:p>
          <w:p w14:paraId="43223233">
            <w:pPr>
              <w:spacing w:line="315" w:lineRule="auto"/>
              <w:rPr>
                <w:rFonts w:ascii="Arial"/>
                <w:sz w:val="21"/>
              </w:rPr>
            </w:pPr>
          </w:p>
          <w:p w14:paraId="6C439B43">
            <w:pPr>
              <w:pStyle w:val="80"/>
              <w:spacing w:before="58" w:line="181" w:lineRule="auto"/>
              <w:ind w:left="110"/>
            </w:pPr>
            <w:r>
              <w:t>C</w:t>
            </w:r>
          </w:p>
        </w:tc>
        <w:tc>
          <w:tcPr>
            <w:tcW w:w="127" w:type="pct"/>
            <w:vMerge w:val="restart"/>
            <w:tcBorders>
              <w:bottom w:val="nil"/>
            </w:tcBorders>
            <w:vAlign w:val="top"/>
          </w:tcPr>
          <w:p w14:paraId="66D28A84">
            <w:pPr>
              <w:spacing w:line="315" w:lineRule="auto"/>
              <w:rPr>
                <w:rFonts w:ascii="Arial"/>
                <w:sz w:val="21"/>
              </w:rPr>
            </w:pPr>
          </w:p>
          <w:p w14:paraId="1E0D2123">
            <w:pPr>
              <w:spacing w:line="315" w:lineRule="auto"/>
              <w:rPr>
                <w:rFonts w:ascii="Arial"/>
                <w:sz w:val="21"/>
              </w:rPr>
            </w:pPr>
          </w:p>
          <w:p w14:paraId="402F39A0">
            <w:pPr>
              <w:pStyle w:val="80"/>
              <w:spacing w:before="58" w:line="180" w:lineRule="auto"/>
              <w:ind w:left="109"/>
            </w:pPr>
            <w:r>
              <w:t>D</w:t>
            </w:r>
          </w:p>
        </w:tc>
        <w:tc>
          <w:tcPr>
            <w:tcW w:w="234" w:type="pct"/>
            <w:vMerge w:val="restart"/>
            <w:tcBorders>
              <w:bottom w:val="nil"/>
            </w:tcBorders>
            <w:textDirection w:val="tbRlV"/>
            <w:vAlign w:val="top"/>
          </w:tcPr>
          <w:p w14:paraId="2A8E3B79">
            <w:pPr>
              <w:pStyle w:val="80"/>
              <w:spacing w:before="193" w:line="207" w:lineRule="auto"/>
              <w:ind w:left="310"/>
            </w:pPr>
            <w:r>
              <w:rPr>
                <w:spacing w:val="40"/>
              </w:rPr>
              <w:t>评价级别</w:t>
            </w:r>
          </w:p>
        </w:tc>
        <w:tc>
          <w:tcPr>
            <w:tcW w:w="269" w:type="pct"/>
            <w:vMerge w:val="restart"/>
            <w:tcBorders>
              <w:bottom w:val="nil"/>
            </w:tcBorders>
            <w:textDirection w:val="tbRlV"/>
            <w:vAlign w:val="top"/>
          </w:tcPr>
          <w:p w14:paraId="3F55BEB4">
            <w:pPr>
              <w:pStyle w:val="80"/>
              <w:spacing w:before="192" w:line="209" w:lineRule="auto"/>
              <w:ind w:left="310"/>
            </w:pPr>
            <w:r>
              <w:rPr>
                <w:spacing w:val="40"/>
              </w:rPr>
              <w:t>管控级别</w:t>
            </w:r>
          </w:p>
        </w:tc>
        <w:tc>
          <w:tcPr>
            <w:tcW w:w="583" w:type="pct"/>
            <w:vMerge w:val="restart"/>
            <w:tcBorders>
              <w:bottom w:val="nil"/>
            </w:tcBorders>
            <w:vAlign w:val="top"/>
          </w:tcPr>
          <w:p w14:paraId="3EDB2BE3">
            <w:pPr>
              <w:spacing w:line="299" w:lineRule="auto"/>
              <w:rPr>
                <w:rFonts w:ascii="Arial"/>
                <w:sz w:val="21"/>
              </w:rPr>
            </w:pPr>
          </w:p>
          <w:p w14:paraId="12D8CA49">
            <w:pPr>
              <w:spacing w:line="299" w:lineRule="auto"/>
              <w:rPr>
                <w:rFonts w:ascii="Arial"/>
                <w:sz w:val="21"/>
              </w:rPr>
            </w:pPr>
          </w:p>
          <w:p w14:paraId="7C94DEDB">
            <w:pPr>
              <w:pStyle w:val="80"/>
              <w:spacing w:before="58" w:line="220" w:lineRule="auto"/>
              <w:ind w:left="118"/>
            </w:pPr>
            <w:r>
              <w:rPr>
                <w:spacing w:val="-1"/>
              </w:rPr>
              <w:t>建议新增（改进）措施</w:t>
            </w:r>
          </w:p>
        </w:tc>
        <w:tc>
          <w:tcPr>
            <w:tcW w:w="254" w:type="pct"/>
            <w:vMerge w:val="restart"/>
            <w:tcBorders>
              <w:bottom w:val="nil"/>
            </w:tcBorders>
            <w:vAlign w:val="top"/>
          </w:tcPr>
          <w:p w14:paraId="12F54677">
            <w:pPr>
              <w:spacing w:line="299" w:lineRule="auto"/>
              <w:rPr>
                <w:rFonts w:ascii="Arial"/>
                <w:sz w:val="21"/>
              </w:rPr>
            </w:pPr>
          </w:p>
          <w:p w14:paraId="242F909E">
            <w:pPr>
              <w:spacing w:line="299" w:lineRule="auto"/>
              <w:rPr>
                <w:rFonts w:ascii="Arial"/>
                <w:sz w:val="21"/>
              </w:rPr>
            </w:pPr>
          </w:p>
          <w:p w14:paraId="28EF5690">
            <w:pPr>
              <w:pStyle w:val="80"/>
              <w:spacing w:before="59" w:line="221" w:lineRule="auto"/>
              <w:ind w:left="184"/>
            </w:pPr>
            <w:r>
              <w:rPr>
                <w:spacing w:val="-3"/>
              </w:rPr>
              <w:t>备注</w:t>
            </w:r>
          </w:p>
        </w:tc>
      </w:tr>
      <w:tr w14:paraId="386C6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jc w:val="center"/>
        </w:trPr>
        <w:tc>
          <w:tcPr>
            <w:tcW w:w="168" w:type="pct"/>
            <w:vMerge w:val="continue"/>
            <w:tcBorders>
              <w:top w:val="nil"/>
            </w:tcBorders>
            <w:textDirection w:val="tbRlV"/>
            <w:vAlign w:val="top"/>
          </w:tcPr>
          <w:p w14:paraId="2FCC8C6F">
            <w:pPr>
              <w:rPr>
                <w:rFonts w:ascii="Arial"/>
                <w:sz w:val="21"/>
              </w:rPr>
            </w:pPr>
          </w:p>
        </w:tc>
        <w:tc>
          <w:tcPr>
            <w:tcW w:w="395" w:type="pct"/>
            <w:vMerge w:val="continue"/>
            <w:tcBorders>
              <w:top w:val="nil"/>
            </w:tcBorders>
            <w:vAlign w:val="top"/>
          </w:tcPr>
          <w:p w14:paraId="339EA0F4">
            <w:pPr>
              <w:rPr>
                <w:rFonts w:ascii="Arial"/>
                <w:sz w:val="21"/>
              </w:rPr>
            </w:pPr>
          </w:p>
        </w:tc>
        <w:tc>
          <w:tcPr>
            <w:tcW w:w="839" w:type="pct"/>
            <w:vMerge w:val="continue"/>
            <w:tcBorders>
              <w:top w:val="nil"/>
            </w:tcBorders>
            <w:vAlign w:val="top"/>
          </w:tcPr>
          <w:p w14:paraId="1B36E247">
            <w:pPr>
              <w:rPr>
                <w:rFonts w:ascii="Arial"/>
                <w:sz w:val="21"/>
              </w:rPr>
            </w:pPr>
          </w:p>
        </w:tc>
        <w:tc>
          <w:tcPr>
            <w:tcW w:w="629" w:type="pct"/>
            <w:vMerge w:val="continue"/>
            <w:tcBorders>
              <w:top w:val="nil"/>
            </w:tcBorders>
            <w:vAlign w:val="top"/>
          </w:tcPr>
          <w:p w14:paraId="47F302A4">
            <w:pPr>
              <w:rPr>
                <w:rFonts w:ascii="Arial"/>
                <w:sz w:val="21"/>
              </w:rPr>
            </w:pPr>
          </w:p>
        </w:tc>
        <w:tc>
          <w:tcPr>
            <w:tcW w:w="292" w:type="pct"/>
            <w:textDirection w:val="tbRlV"/>
            <w:vAlign w:val="top"/>
          </w:tcPr>
          <w:p w14:paraId="5D839E84">
            <w:pPr>
              <w:pStyle w:val="80"/>
              <w:spacing w:before="87" w:line="209" w:lineRule="auto"/>
              <w:ind w:left="27"/>
            </w:pPr>
            <w:r>
              <w:rPr>
                <w:spacing w:val="40"/>
              </w:rPr>
              <w:t>工程技术</w:t>
            </w:r>
          </w:p>
        </w:tc>
        <w:tc>
          <w:tcPr>
            <w:tcW w:w="276" w:type="pct"/>
            <w:textDirection w:val="tbRlV"/>
            <w:vAlign w:val="top"/>
          </w:tcPr>
          <w:p w14:paraId="35610F0C">
            <w:pPr>
              <w:pStyle w:val="80"/>
              <w:spacing w:before="121" w:line="209" w:lineRule="auto"/>
              <w:ind w:left="27"/>
            </w:pPr>
            <w:r>
              <w:rPr>
                <w:spacing w:val="40"/>
              </w:rPr>
              <w:t>管理措施</w:t>
            </w:r>
          </w:p>
        </w:tc>
        <w:tc>
          <w:tcPr>
            <w:tcW w:w="213" w:type="pct"/>
            <w:textDirection w:val="tbRlV"/>
            <w:vAlign w:val="top"/>
          </w:tcPr>
          <w:p w14:paraId="36C978B4">
            <w:pPr>
              <w:pStyle w:val="80"/>
              <w:spacing w:before="195" w:line="207" w:lineRule="auto"/>
              <w:ind w:left="27"/>
            </w:pPr>
            <w:r>
              <w:rPr>
                <w:spacing w:val="40"/>
              </w:rPr>
              <w:t>培训教育</w:t>
            </w:r>
          </w:p>
        </w:tc>
        <w:tc>
          <w:tcPr>
            <w:tcW w:w="172" w:type="pct"/>
            <w:textDirection w:val="tbRlV"/>
            <w:vAlign w:val="top"/>
          </w:tcPr>
          <w:p w14:paraId="43B696D1">
            <w:pPr>
              <w:pStyle w:val="80"/>
              <w:spacing w:before="122" w:line="208" w:lineRule="auto"/>
              <w:ind w:left="27"/>
            </w:pPr>
            <w:r>
              <w:rPr>
                <w:spacing w:val="40"/>
              </w:rPr>
              <w:t>个体防护</w:t>
            </w:r>
          </w:p>
        </w:tc>
        <w:tc>
          <w:tcPr>
            <w:tcW w:w="216" w:type="pct"/>
            <w:textDirection w:val="tbRlV"/>
            <w:vAlign w:val="top"/>
          </w:tcPr>
          <w:p w14:paraId="132F01E4">
            <w:pPr>
              <w:pStyle w:val="80"/>
              <w:spacing w:before="120" w:line="211" w:lineRule="auto"/>
              <w:ind w:left="27"/>
            </w:pPr>
            <w:r>
              <w:rPr>
                <w:spacing w:val="40"/>
              </w:rPr>
              <w:t>应急处置</w:t>
            </w:r>
          </w:p>
        </w:tc>
        <w:tc>
          <w:tcPr>
            <w:tcW w:w="109" w:type="pct"/>
            <w:vMerge w:val="continue"/>
            <w:tcBorders>
              <w:top w:val="nil"/>
            </w:tcBorders>
            <w:vAlign w:val="top"/>
          </w:tcPr>
          <w:p w14:paraId="54640788">
            <w:pPr>
              <w:rPr>
                <w:rFonts w:ascii="Arial"/>
                <w:sz w:val="21"/>
              </w:rPr>
            </w:pPr>
          </w:p>
        </w:tc>
        <w:tc>
          <w:tcPr>
            <w:tcW w:w="108" w:type="pct"/>
            <w:vMerge w:val="continue"/>
            <w:tcBorders>
              <w:top w:val="nil"/>
            </w:tcBorders>
            <w:vAlign w:val="top"/>
          </w:tcPr>
          <w:p w14:paraId="0CFBBBDA">
            <w:pPr>
              <w:rPr>
                <w:rFonts w:ascii="Arial"/>
                <w:sz w:val="21"/>
              </w:rPr>
            </w:pPr>
          </w:p>
        </w:tc>
        <w:tc>
          <w:tcPr>
            <w:tcW w:w="109" w:type="pct"/>
            <w:vMerge w:val="continue"/>
            <w:tcBorders>
              <w:top w:val="nil"/>
            </w:tcBorders>
            <w:vAlign w:val="top"/>
          </w:tcPr>
          <w:p w14:paraId="02AEC21D">
            <w:pPr>
              <w:rPr>
                <w:rFonts w:ascii="Arial"/>
                <w:sz w:val="21"/>
              </w:rPr>
            </w:pPr>
          </w:p>
        </w:tc>
        <w:tc>
          <w:tcPr>
            <w:tcW w:w="127" w:type="pct"/>
            <w:vMerge w:val="continue"/>
            <w:tcBorders>
              <w:top w:val="nil"/>
            </w:tcBorders>
            <w:vAlign w:val="top"/>
          </w:tcPr>
          <w:p w14:paraId="078AB1A8">
            <w:pPr>
              <w:rPr>
                <w:rFonts w:ascii="Arial"/>
                <w:sz w:val="21"/>
              </w:rPr>
            </w:pPr>
          </w:p>
        </w:tc>
        <w:tc>
          <w:tcPr>
            <w:tcW w:w="234" w:type="pct"/>
            <w:vMerge w:val="continue"/>
            <w:tcBorders>
              <w:top w:val="nil"/>
            </w:tcBorders>
            <w:textDirection w:val="tbRlV"/>
            <w:vAlign w:val="top"/>
          </w:tcPr>
          <w:p w14:paraId="6A88033D">
            <w:pPr>
              <w:rPr>
                <w:rFonts w:ascii="Arial"/>
                <w:sz w:val="21"/>
              </w:rPr>
            </w:pPr>
          </w:p>
        </w:tc>
        <w:tc>
          <w:tcPr>
            <w:tcW w:w="269" w:type="pct"/>
            <w:vMerge w:val="continue"/>
            <w:tcBorders>
              <w:top w:val="nil"/>
            </w:tcBorders>
            <w:textDirection w:val="tbRlV"/>
            <w:vAlign w:val="top"/>
          </w:tcPr>
          <w:p w14:paraId="6AEA4198">
            <w:pPr>
              <w:rPr>
                <w:rFonts w:ascii="Arial"/>
                <w:sz w:val="21"/>
              </w:rPr>
            </w:pPr>
          </w:p>
        </w:tc>
        <w:tc>
          <w:tcPr>
            <w:tcW w:w="583" w:type="pct"/>
            <w:vMerge w:val="continue"/>
            <w:tcBorders>
              <w:top w:val="nil"/>
            </w:tcBorders>
            <w:vAlign w:val="top"/>
          </w:tcPr>
          <w:p w14:paraId="68E61ECD">
            <w:pPr>
              <w:rPr>
                <w:rFonts w:ascii="Arial"/>
                <w:sz w:val="21"/>
              </w:rPr>
            </w:pPr>
          </w:p>
        </w:tc>
        <w:tc>
          <w:tcPr>
            <w:tcW w:w="254" w:type="pct"/>
            <w:vMerge w:val="continue"/>
            <w:tcBorders>
              <w:top w:val="nil"/>
            </w:tcBorders>
            <w:vAlign w:val="top"/>
          </w:tcPr>
          <w:p w14:paraId="4E251760">
            <w:pPr>
              <w:rPr>
                <w:rFonts w:ascii="Arial"/>
                <w:sz w:val="21"/>
              </w:rPr>
            </w:pPr>
          </w:p>
        </w:tc>
      </w:tr>
      <w:tr w14:paraId="4A398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jc w:val="center"/>
        </w:trPr>
        <w:tc>
          <w:tcPr>
            <w:tcW w:w="168" w:type="pct"/>
            <w:vAlign w:val="top"/>
          </w:tcPr>
          <w:p w14:paraId="4C509AE3">
            <w:pPr>
              <w:rPr>
                <w:rFonts w:ascii="Arial"/>
                <w:sz w:val="21"/>
              </w:rPr>
            </w:pPr>
          </w:p>
        </w:tc>
        <w:tc>
          <w:tcPr>
            <w:tcW w:w="395" w:type="pct"/>
            <w:vAlign w:val="top"/>
          </w:tcPr>
          <w:p w14:paraId="3315545F">
            <w:pPr>
              <w:rPr>
                <w:rFonts w:ascii="Arial"/>
                <w:sz w:val="21"/>
              </w:rPr>
            </w:pPr>
          </w:p>
        </w:tc>
        <w:tc>
          <w:tcPr>
            <w:tcW w:w="839" w:type="pct"/>
            <w:vAlign w:val="top"/>
          </w:tcPr>
          <w:p w14:paraId="1457C313">
            <w:pPr>
              <w:rPr>
                <w:rFonts w:ascii="Arial"/>
                <w:sz w:val="21"/>
              </w:rPr>
            </w:pPr>
          </w:p>
        </w:tc>
        <w:tc>
          <w:tcPr>
            <w:tcW w:w="629" w:type="pct"/>
            <w:vAlign w:val="top"/>
          </w:tcPr>
          <w:p w14:paraId="7C605D3F">
            <w:pPr>
              <w:rPr>
                <w:rFonts w:ascii="Arial"/>
                <w:sz w:val="21"/>
              </w:rPr>
            </w:pPr>
          </w:p>
        </w:tc>
        <w:tc>
          <w:tcPr>
            <w:tcW w:w="292" w:type="pct"/>
            <w:vAlign w:val="top"/>
          </w:tcPr>
          <w:p w14:paraId="72B7ED92">
            <w:pPr>
              <w:rPr>
                <w:rFonts w:ascii="Arial"/>
                <w:sz w:val="21"/>
              </w:rPr>
            </w:pPr>
          </w:p>
        </w:tc>
        <w:tc>
          <w:tcPr>
            <w:tcW w:w="276" w:type="pct"/>
            <w:vAlign w:val="top"/>
          </w:tcPr>
          <w:p w14:paraId="1BC0EB76">
            <w:pPr>
              <w:rPr>
                <w:rFonts w:ascii="Arial"/>
                <w:sz w:val="21"/>
              </w:rPr>
            </w:pPr>
          </w:p>
        </w:tc>
        <w:tc>
          <w:tcPr>
            <w:tcW w:w="213" w:type="pct"/>
            <w:vAlign w:val="top"/>
          </w:tcPr>
          <w:p w14:paraId="079A2109">
            <w:pPr>
              <w:rPr>
                <w:rFonts w:ascii="Arial"/>
                <w:sz w:val="21"/>
              </w:rPr>
            </w:pPr>
          </w:p>
        </w:tc>
        <w:tc>
          <w:tcPr>
            <w:tcW w:w="172" w:type="pct"/>
            <w:vAlign w:val="top"/>
          </w:tcPr>
          <w:p w14:paraId="60FE7924">
            <w:pPr>
              <w:rPr>
                <w:rFonts w:ascii="Arial"/>
                <w:sz w:val="21"/>
              </w:rPr>
            </w:pPr>
          </w:p>
        </w:tc>
        <w:tc>
          <w:tcPr>
            <w:tcW w:w="216" w:type="pct"/>
            <w:vAlign w:val="top"/>
          </w:tcPr>
          <w:p w14:paraId="01752E2F">
            <w:pPr>
              <w:rPr>
                <w:rFonts w:ascii="Arial"/>
                <w:sz w:val="21"/>
              </w:rPr>
            </w:pPr>
          </w:p>
        </w:tc>
        <w:tc>
          <w:tcPr>
            <w:tcW w:w="109" w:type="pct"/>
            <w:vAlign w:val="top"/>
          </w:tcPr>
          <w:p w14:paraId="2DD80381">
            <w:pPr>
              <w:rPr>
                <w:rFonts w:ascii="Arial"/>
                <w:sz w:val="21"/>
              </w:rPr>
            </w:pPr>
          </w:p>
        </w:tc>
        <w:tc>
          <w:tcPr>
            <w:tcW w:w="108" w:type="pct"/>
            <w:vAlign w:val="top"/>
          </w:tcPr>
          <w:p w14:paraId="3585356E">
            <w:pPr>
              <w:rPr>
                <w:rFonts w:ascii="Arial"/>
                <w:sz w:val="21"/>
              </w:rPr>
            </w:pPr>
          </w:p>
        </w:tc>
        <w:tc>
          <w:tcPr>
            <w:tcW w:w="109" w:type="pct"/>
            <w:vAlign w:val="top"/>
          </w:tcPr>
          <w:p w14:paraId="216B0BAD">
            <w:pPr>
              <w:rPr>
                <w:rFonts w:ascii="Arial"/>
                <w:sz w:val="21"/>
              </w:rPr>
            </w:pPr>
          </w:p>
        </w:tc>
        <w:tc>
          <w:tcPr>
            <w:tcW w:w="127" w:type="pct"/>
            <w:vAlign w:val="top"/>
          </w:tcPr>
          <w:p w14:paraId="3D6EF09F">
            <w:pPr>
              <w:rPr>
                <w:rFonts w:ascii="Arial"/>
                <w:sz w:val="21"/>
              </w:rPr>
            </w:pPr>
          </w:p>
        </w:tc>
        <w:tc>
          <w:tcPr>
            <w:tcW w:w="234" w:type="pct"/>
            <w:vAlign w:val="top"/>
          </w:tcPr>
          <w:p w14:paraId="210B40F4">
            <w:pPr>
              <w:rPr>
                <w:rFonts w:ascii="Arial"/>
                <w:sz w:val="21"/>
              </w:rPr>
            </w:pPr>
          </w:p>
        </w:tc>
        <w:tc>
          <w:tcPr>
            <w:tcW w:w="269" w:type="pct"/>
            <w:vAlign w:val="top"/>
          </w:tcPr>
          <w:p w14:paraId="7BDC6607">
            <w:pPr>
              <w:rPr>
                <w:rFonts w:ascii="Arial"/>
                <w:sz w:val="21"/>
              </w:rPr>
            </w:pPr>
          </w:p>
        </w:tc>
        <w:tc>
          <w:tcPr>
            <w:tcW w:w="583" w:type="pct"/>
            <w:vAlign w:val="top"/>
          </w:tcPr>
          <w:p w14:paraId="38872B5D">
            <w:pPr>
              <w:rPr>
                <w:rFonts w:ascii="Arial"/>
                <w:sz w:val="21"/>
              </w:rPr>
            </w:pPr>
          </w:p>
        </w:tc>
        <w:tc>
          <w:tcPr>
            <w:tcW w:w="254" w:type="pct"/>
            <w:vAlign w:val="top"/>
          </w:tcPr>
          <w:p w14:paraId="56C5F65A">
            <w:pPr>
              <w:rPr>
                <w:rFonts w:ascii="Arial"/>
                <w:sz w:val="21"/>
              </w:rPr>
            </w:pPr>
          </w:p>
        </w:tc>
      </w:tr>
    </w:tbl>
    <w:p w14:paraId="2B306CB5">
      <w:pPr>
        <w:spacing w:before="260" w:line="220" w:lineRule="auto"/>
        <w:ind w:left="779"/>
        <w:rPr>
          <w:rFonts w:ascii="宋体" w:hAnsi="宋体" w:eastAsia="宋体" w:cs="宋体"/>
          <w:spacing w:val="-9"/>
          <w:sz w:val="18"/>
          <w:szCs w:val="18"/>
        </w:rPr>
      </w:pPr>
      <w:r>
        <w:rPr>
          <w:rFonts w:ascii="宋体" w:hAnsi="宋体" w:eastAsia="宋体" w:cs="宋体"/>
          <w:spacing w:val="-9"/>
          <w:sz w:val="18"/>
          <w:szCs w:val="18"/>
        </w:rPr>
        <w:t>分析人：</w:t>
      </w:r>
      <w:r>
        <w:rPr>
          <w:rFonts w:ascii="宋体" w:hAnsi="宋体" w:eastAsia="宋体" w:cs="宋体"/>
          <w:spacing w:val="6"/>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审核人：</w:t>
      </w:r>
      <w:r>
        <w:rPr>
          <w:rFonts w:ascii="宋体" w:hAnsi="宋体" w:eastAsia="宋体" w:cs="宋体"/>
          <w:spacing w:val="4"/>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审定人：</w:t>
      </w:r>
      <w:r>
        <w:rPr>
          <w:rFonts w:ascii="宋体" w:hAnsi="宋体" w:eastAsia="宋体" w:cs="宋体"/>
          <w:spacing w:val="4"/>
          <w:sz w:val="18"/>
          <w:szCs w:val="18"/>
        </w:rPr>
        <w:t xml:space="preserve">        </w:t>
      </w:r>
      <w:r>
        <w:rPr>
          <w:rFonts w:ascii="宋体" w:hAnsi="宋体" w:eastAsia="宋体" w:cs="宋体"/>
          <w:spacing w:val="-9"/>
          <w:sz w:val="18"/>
          <w:szCs w:val="18"/>
        </w:rPr>
        <w:t>日期：</w:t>
      </w:r>
    </w:p>
    <w:p w14:paraId="0BE2E556">
      <w:pPr>
        <w:spacing w:before="260" w:line="220" w:lineRule="auto"/>
      </w:pPr>
      <w:r>
        <w:rPr>
          <w:rFonts w:ascii="宋体" w:hAnsi="宋体" w:eastAsia="宋体" w:cs="宋体"/>
          <w:spacing w:val="2"/>
          <w:sz w:val="18"/>
          <w:szCs w:val="18"/>
        </w:rPr>
        <w:t>填表说明：1、审核人为</w:t>
      </w:r>
      <w:r>
        <w:rPr>
          <w:rFonts w:hint="eastAsia" w:ascii="宋体" w:hAnsi="宋体" w:eastAsia="宋体" w:cs="宋体"/>
          <w:spacing w:val="2"/>
          <w:sz w:val="18"/>
          <w:szCs w:val="18"/>
          <w:lang w:val="en-US" w:eastAsia="zh-CN"/>
        </w:rPr>
        <w:t>监测机构安全员</w:t>
      </w:r>
      <w:r>
        <w:rPr>
          <w:rFonts w:ascii="宋体" w:hAnsi="宋体" w:eastAsia="宋体" w:cs="宋体"/>
          <w:spacing w:val="2"/>
          <w:sz w:val="18"/>
          <w:szCs w:val="18"/>
        </w:rPr>
        <w:t>，审</w:t>
      </w:r>
      <w:r>
        <w:rPr>
          <w:rFonts w:ascii="宋体" w:hAnsi="宋体" w:eastAsia="宋体" w:cs="宋体"/>
          <w:spacing w:val="1"/>
          <w:sz w:val="18"/>
          <w:szCs w:val="18"/>
        </w:rPr>
        <w:t>定人为</w:t>
      </w:r>
      <w:r>
        <w:rPr>
          <w:rFonts w:hint="eastAsia" w:ascii="宋体" w:hAnsi="宋体" w:eastAsia="宋体" w:cs="宋体"/>
          <w:spacing w:val="1"/>
          <w:sz w:val="18"/>
          <w:szCs w:val="18"/>
          <w:lang w:val="en-US" w:eastAsia="zh-CN"/>
        </w:rPr>
        <w:t>安全责任人</w:t>
      </w:r>
      <w:r>
        <w:rPr>
          <w:rFonts w:ascii="宋体" w:hAnsi="宋体" w:eastAsia="宋体" w:cs="宋体"/>
          <w:spacing w:val="1"/>
          <w:sz w:val="18"/>
          <w:szCs w:val="18"/>
        </w:rPr>
        <w:t>。2、评价级别是指运用风险评价方法，确定</w:t>
      </w:r>
      <w:r>
        <w:rPr>
          <w:rFonts w:ascii="宋体" w:hAnsi="宋体" w:eastAsia="宋体" w:cs="宋体"/>
          <w:sz w:val="18"/>
          <w:szCs w:val="18"/>
        </w:rPr>
        <w:t>的风险等级。3、管控级别是指按照风险等级规定的对应原则，划分的</w:t>
      </w:r>
      <w:r>
        <w:rPr>
          <w:rFonts w:ascii="宋体" w:hAnsi="宋体" w:eastAsia="宋体" w:cs="宋体"/>
          <w:spacing w:val="-1"/>
          <w:sz w:val="18"/>
          <w:szCs w:val="18"/>
        </w:rPr>
        <w:t>重大风险、较大风险、一般风险</w:t>
      </w:r>
      <w:r>
        <w:rPr>
          <w:rFonts w:ascii="宋体" w:hAnsi="宋体" w:eastAsia="宋体" w:cs="宋体"/>
          <w:sz w:val="18"/>
          <w:szCs w:val="18"/>
        </w:rPr>
        <w:t xml:space="preserve"> </w:t>
      </w:r>
      <w:r>
        <w:rPr>
          <w:rFonts w:ascii="宋体" w:hAnsi="宋体" w:eastAsia="宋体" w:cs="宋体"/>
          <w:spacing w:val="-1"/>
          <w:sz w:val="18"/>
          <w:szCs w:val="18"/>
        </w:rPr>
        <w:t>和低风险，分别用“红、橙、黄、蓝”标识。</w:t>
      </w:r>
    </w:p>
    <w:p w14:paraId="3C3E67A9">
      <w:pPr>
        <w:pStyle w:val="79"/>
        <w:numPr>
          <w:ilvl w:val="0"/>
          <w:numId w:val="0"/>
        </w:numPr>
        <w:tabs>
          <w:tab w:val="left" w:pos="180"/>
        </w:tabs>
        <w:spacing w:before="156" w:after="156"/>
        <w:ind w:left="3114"/>
        <w:jc w:val="both"/>
        <w:rPr>
          <w:rFonts w:hint="eastAsia" w:ascii="黑体" w:hAnsi="Times New Roman" w:eastAsia="黑体" w:cs="Times New Roman"/>
          <w:sz w:val="21"/>
          <w:szCs w:val="20"/>
        </w:rPr>
      </w:pPr>
      <w:r>
        <w:rPr>
          <w:rFonts w:hint="eastAsia" w:ascii="黑体" w:hAnsi="Times New Roman" w:eastAsia="黑体" w:cs="Times New Roman"/>
          <w:spacing w:val="0"/>
          <w:sz w:val="21"/>
          <w:szCs w:val="20"/>
        </w:rPr>
        <w:t xml:space="preserve">表 </w:t>
      </w:r>
      <w:r>
        <w:rPr>
          <w:rFonts w:hint="eastAsia" w:ascii="黑体" w:hAnsi="Times New Roman" w:eastAsia="黑体" w:cs="Times New Roman"/>
          <w:spacing w:val="0"/>
          <w:sz w:val="21"/>
          <w:szCs w:val="20"/>
          <w:lang w:val="en-US" w:eastAsia="zh-CN"/>
        </w:rPr>
        <w:t>B.</w:t>
      </w:r>
      <w:r>
        <w:rPr>
          <w:rFonts w:hint="eastAsia" w:ascii="黑体" w:hAnsi="Times New Roman" w:eastAsia="黑体" w:cs="Times New Roman"/>
          <w:spacing w:val="0"/>
          <w:sz w:val="21"/>
          <w:szCs w:val="20"/>
        </w:rPr>
        <w:t xml:space="preserve">2 </w:t>
      </w:r>
      <w:r>
        <w:rPr>
          <w:rFonts w:hint="eastAsia" w:ascii="黑体" w:hAnsi="Times New Roman" w:eastAsia="黑体" w:cs="Times New Roman"/>
          <w:spacing w:val="0"/>
          <w:sz w:val="21"/>
          <w:szCs w:val="20"/>
          <w:lang w:val="en-US" w:eastAsia="zh-CN"/>
        </w:rPr>
        <w:t>安全检查表分析</w:t>
      </w:r>
      <w:r>
        <w:rPr>
          <w:rFonts w:hint="eastAsia" w:ascii="黑体" w:hAnsi="Times New Roman" w:eastAsia="黑体" w:cs="Times New Roman"/>
          <w:spacing w:val="0"/>
          <w:sz w:val="21"/>
          <w:szCs w:val="20"/>
        </w:rPr>
        <w:t>（</w:t>
      </w:r>
      <w:r>
        <w:rPr>
          <w:rFonts w:hint="eastAsia" w:ascii="黑体" w:hAnsi="Times New Roman" w:eastAsia="黑体" w:cs="Times New Roman"/>
          <w:spacing w:val="0"/>
          <w:sz w:val="21"/>
          <w:szCs w:val="20"/>
          <w:lang w:val="en-US" w:eastAsia="zh-CN"/>
        </w:rPr>
        <w:t>SCL</w:t>
      </w:r>
      <w:r>
        <w:rPr>
          <w:rFonts w:hint="eastAsia" w:ascii="黑体" w:hAnsi="Times New Roman" w:eastAsia="黑体" w:cs="Times New Roman"/>
          <w:spacing w:val="0"/>
          <w:sz w:val="21"/>
          <w:szCs w:val="20"/>
        </w:rPr>
        <w:t>+LS）评价记录</w:t>
      </w:r>
    </w:p>
    <w:p w14:paraId="369D7F7A">
      <w:pPr>
        <w:spacing w:before="188" w:line="213" w:lineRule="auto"/>
        <w:rPr>
          <w:rFonts w:ascii="宋体" w:hAnsi="宋体" w:eastAsia="宋体" w:cs="宋体"/>
          <w:sz w:val="18"/>
          <w:szCs w:val="18"/>
        </w:rPr>
      </w:pPr>
      <w:r>
        <w:rPr>
          <w:rFonts w:ascii="宋体" w:hAnsi="宋体" w:eastAsia="宋体" w:cs="宋体"/>
          <w:sz w:val="18"/>
          <w:szCs w:val="18"/>
        </w:rPr>
        <w:t xml:space="preserve">（记录受控号）单位：             岗位：        风险点（区域/装置/设备/设施）名称：          </w:t>
      </w:r>
      <w:r>
        <w:rPr>
          <w:rFonts w:ascii="宋体" w:hAnsi="宋体" w:eastAsia="宋体" w:cs="宋体"/>
          <w:spacing w:val="-1"/>
          <w:sz w:val="18"/>
          <w:szCs w:val="18"/>
        </w:rPr>
        <w:t xml:space="preserve">    No：</w:t>
      </w:r>
    </w:p>
    <w:tbl>
      <w:tblPr>
        <w:tblStyle w:val="14"/>
        <w:tblW w:w="5235"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4"/>
        <w:gridCol w:w="674"/>
        <w:gridCol w:w="1656"/>
        <w:gridCol w:w="1177"/>
        <w:gridCol w:w="603"/>
        <w:gridCol w:w="487"/>
        <w:gridCol w:w="581"/>
        <w:gridCol w:w="507"/>
        <w:gridCol w:w="433"/>
        <w:gridCol w:w="239"/>
        <w:gridCol w:w="254"/>
        <w:gridCol w:w="205"/>
        <w:gridCol w:w="433"/>
        <w:gridCol w:w="496"/>
        <w:gridCol w:w="956"/>
        <w:gridCol w:w="402"/>
      </w:tblGrid>
      <w:tr w14:paraId="1B9116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1" w:hRule="atLeast"/>
          <w:jc w:val="center"/>
        </w:trPr>
        <w:tc>
          <w:tcPr>
            <w:tcW w:w="166" w:type="pct"/>
            <w:vMerge w:val="restart"/>
            <w:tcBorders>
              <w:bottom w:val="nil"/>
            </w:tcBorders>
            <w:textDirection w:val="tbRlV"/>
            <w:vAlign w:val="top"/>
          </w:tcPr>
          <w:p w14:paraId="12010BD9">
            <w:pPr>
              <w:pStyle w:val="80"/>
              <w:spacing w:before="26" w:line="210" w:lineRule="auto"/>
              <w:ind w:left="543"/>
            </w:pPr>
            <w:r>
              <w:rPr>
                <w:spacing w:val="26"/>
              </w:rPr>
              <w:t>序号</w:t>
            </w:r>
          </w:p>
        </w:tc>
        <w:tc>
          <w:tcPr>
            <w:tcW w:w="357" w:type="pct"/>
            <w:vMerge w:val="restart"/>
            <w:tcBorders>
              <w:bottom w:val="nil"/>
            </w:tcBorders>
            <w:vAlign w:val="center"/>
          </w:tcPr>
          <w:p w14:paraId="5FF08416">
            <w:pPr>
              <w:spacing w:line="338" w:lineRule="auto"/>
              <w:jc w:val="center"/>
              <w:rPr>
                <w:rFonts w:ascii="Arial"/>
                <w:sz w:val="21"/>
              </w:rPr>
            </w:pPr>
          </w:p>
          <w:p w14:paraId="7FA083D1">
            <w:pPr>
              <w:pStyle w:val="80"/>
              <w:spacing w:before="59" w:line="220" w:lineRule="auto"/>
              <w:ind w:left="67" w:leftChars="0"/>
              <w:jc w:val="center"/>
            </w:pPr>
            <w:r>
              <w:rPr>
                <w:spacing w:val="-2"/>
              </w:rPr>
              <w:t>检查项目</w:t>
            </w:r>
          </w:p>
        </w:tc>
        <w:tc>
          <w:tcPr>
            <w:tcW w:w="879" w:type="pct"/>
            <w:vMerge w:val="restart"/>
            <w:tcBorders>
              <w:bottom w:val="nil"/>
            </w:tcBorders>
            <w:vAlign w:val="center"/>
          </w:tcPr>
          <w:p w14:paraId="3E2A210F">
            <w:pPr>
              <w:spacing w:line="339" w:lineRule="auto"/>
              <w:jc w:val="center"/>
              <w:rPr>
                <w:rFonts w:ascii="Arial"/>
                <w:sz w:val="21"/>
              </w:rPr>
            </w:pPr>
          </w:p>
          <w:p w14:paraId="7DA07C39">
            <w:pPr>
              <w:pStyle w:val="80"/>
              <w:spacing w:before="58" w:line="220" w:lineRule="auto"/>
              <w:ind w:left="103" w:leftChars="0"/>
              <w:jc w:val="center"/>
            </w:pPr>
            <w:r>
              <w:rPr>
                <w:spacing w:val="-2"/>
              </w:rPr>
              <w:t>标准</w:t>
            </w:r>
          </w:p>
        </w:tc>
        <w:tc>
          <w:tcPr>
            <w:tcW w:w="624" w:type="pct"/>
            <w:vMerge w:val="restart"/>
            <w:tcBorders>
              <w:bottom w:val="nil"/>
            </w:tcBorders>
            <w:vAlign w:val="center"/>
          </w:tcPr>
          <w:p w14:paraId="5D15924D">
            <w:pPr>
              <w:pStyle w:val="80"/>
              <w:spacing w:before="281" w:line="231" w:lineRule="auto"/>
              <w:ind w:left="46" w:leftChars="0" w:right="49" w:rightChars="0" w:firstLine="2" w:firstLineChars="0"/>
              <w:jc w:val="center"/>
            </w:pPr>
            <w:r>
              <w:rPr>
                <w:spacing w:val="-2"/>
              </w:rPr>
              <w:t>不符合标准</w:t>
            </w:r>
            <w:r>
              <w:t xml:space="preserve"> </w:t>
            </w:r>
            <w:r>
              <w:rPr>
                <w:spacing w:val="-2"/>
              </w:rPr>
              <w:t>情况及后果</w:t>
            </w:r>
          </w:p>
        </w:tc>
        <w:tc>
          <w:tcPr>
            <w:tcW w:w="1386" w:type="pct"/>
            <w:gridSpan w:val="5"/>
            <w:vAlign w:val="top"/>
          </w:tcPr>
          <w:p w14:paraId="4E1E66CF">
            <w:pPr>
              <w:pStyle w:val="80"/>
              <w:spacing w:before="188" w:line="220" w:lineRule="auto"/>
              <w:ind w:left="667"/>
            </w:pPr>
            <w:r>
              <w:rPr>
                <w:spacing w:val="-2"/>
              </w:rPr>
              <w:t>现有控制措施</w:t>
            </w:r>
          </w:p>
        </w:tc>
        <w:tc>
          <w:tcPr>
            <w:tcW w:w="126" w:type="pct"/>
            <w:vMerge w:val="restart"/>
            <w:tcBorders>
              <w:bottom w:val="nil"/>
            </w:tcBorders>
            <w:vAlign w:val="top"/>
          </w:tcPr>
          <w:p w14:paraId="57D6563B">
            <w:pPr>
              <w:spacing w:line="315" w:lineRule="auto"/>
              <w:rPr>
                <w:rFonts w:ascii="Arial"/>
                <w:sz w:val="21"/>
              </w:rPr>
            </w:pPr>
          </w:p>
          <w:p w14:paraId="6B442749">
            <w:pPr>
              <w:spacing w:line="315" w:lineRule="auto"/>
              <w:rPr>
                <w:rFonts w:ascii="Arial"/>
                <w:sz w:val="21"/>
              </w:rPr>
            </w:pPr>
          </w:p>
          <w:p w14:paraId="4493290A">
            <w:pPr>
              <w:pStyle w:val="80"/>
              <w:spacing w:before="58" w:line="180" w:lineRule="auto"/>
              <w:ind w:left="109"/>
            </w:pPr>
            <w:r>
              <w:t>L</w:t>
            </w:r>
          </w:p>
        </w:tc>
        <w:tc>
          <w:tcPr>
            <w:tcW w:w="134" w:type="pct"/>
            <w:vMerge w:val="restart"/>
            <w:tcBorders>
              <w:bottom w:val="nil"/>
            </w:tcBorders>
            <w:vAlign w:val="top"/>
          </w:tcPr>
          <w:p w14:paraId="2BF5A460">
            <w:pPr>
              <w:spacing w:line="314" w:lineRule="auto"/>
              <w:rPr>
                <w:rFonts w:ascii="Arial"/>
                <w:sz w:val="21"/>
              </w:rPr>
            </w:pPr>
          </w:p>
          <w:p w14:paraId="3A30CB64">
            <w:pPr>
              <w:spacing w:line="315" w:lineRule="auto"/>
              <w:rPr>
                <w:rFonts w:ascii="Arial"/>
                <w:sz w:val="21"/>
              </w:rPr>
            </w:pPr>
          </w:p>
          <w:p w14:paraId="437C425F">
            <w:pPr>
              <w:pStyle w:val="80"/>
              <w:spacing w:before="58" w:line="181" w:lineRule="auto"/>
              <w:ind w:left="110"/>
            </w:pPr>
            <w:r>
              <w:t>S</w:t>
            </w:r>
          </w:p>
        </w:tc>
        <w:tc>
          <w:tcPr>
            <w:tcW w:w="108" w:type="pct"/>
            <w:vMerge w:val="restart"/>
            <w:tcBorders>
              <w:bottom w:val="nil"/>
            </w:tcBorders>
            <w:vAlign w:val="top"/>
          </w:tcPr>
          <w:p w14:paraId="6FA12E4D">
            <w:pPr>
              <w:spacing w:line="315" w:lineRule="auto"/>
              <w:rPr>
                <w:rFonts w:ascii="Arial"/>
                <w:sz w:val="21"/>
              </w:rPr>
            </w:pPr>
          </w:p>
          <w:p w14:paraId="57ACAB08">
            <w:pPr>
              <w:spacing w:line="315" w:lineRule="auto"/>
              <w:rPr>
                <w:rFonts w:ascii="Arial"/>
                <w:sz w:val="21"/>
              </w:rPr>
            </w:pPr>
          </w:p>
          <w:p w14:paraId="5D420FAA">
            <w:pPr>
              <w:pStyle w:val="80"/>
              <w:spacing w:before="58" w:line="180" w:lineRule="auto"/>
              <w:ind w:left="108"/>
            </w:pPr>
            <w:r>
              <w:t>R</w:t>
            </w:r>
          </w:p>
        </w:tc>
        <w:tc>
          <w:tcPr>
            <w:tcW w:w="229" w:type="pct"/>
            <w:vMerge w:val="restart"/>
            <w:tcBorders>
              <w:bottom w:val="nil"/>
            </w:tcBorders>
            <w:textDirection w:val="tbRlV"/>
            <w:vAlign w:val="top"/>
          </w:tcPr>
          <w:p w14:paraId="09D2F1C8">
            <w:pPr>
              <w:pStyle w:val="80"/>
              <w:spacing w:before="191" w:line="207" w:lineRule="auto"/>
              <w:ind w:left="310"/>
            </w:pPr>
            <w:r>
              <w:rPr>
                <w:spacing w:val="39"/>
              </w:rPr>
              <w:t>评价级别</w:t>
            </w:r>
          </w:p>
        </w:tc>
        <w:tc>
          <w:tcPr>
            <w:tcW w:w="263" w:type="pct"/>
            <w:vMerge w:val="restart"/>
            <w:tcBorders>
              <w:bottom w:val="nil"/>
            </w:tcBorders>
            <w:textDirection w:val="tbRlV"/>
            <w:vAlign w:val="top"/>
          </w:tcPr>
          <w:p w14:paraId="6D48F2FE">
            <w:pPr>
              <w:pStyle w:val="80"/>
              <w:spacing w:before="190" w:line="209" w:lineRule="auto"/>
              <w:ind w:left="310"/>
            </w:pPr>
            <w:r>
              <w:rPr>
                <w:spacing w:val="39"/>
              </w:rPr>
              <w:t>管控级别</w:t>
            </w:r>
          </w:p>
        </w:tc>
        <w:tc>
          <w:tcPr>
            <w:tcW w:w="507" w:type="pct"/>
            <w:vMerge w:val="restart"/>
            <w:tcBorders>
              <w:bottom w:val="nil"/>
            </w:tcBorders>
            <w:vAlign w:val="top"/>
          </w:tcPr>
          <w:p w14:paraId="514EB19B">
            <w:pPr>
              <w:spacing w:line="299" w:lineRule="auto"/>
              <w:rPr>
                <w:rFonts w:ascii="Arial"/>
                <w:sz w:val="21"/>
              </w:rPr>
            </w:pPr>
          </w:p>
          <w:p w14:paraId="527B908C">
            <w:pPr>
              <w:spacing w:line="299" w:lineRule="auto"/>
              <w:rPr>
                <w:rFonts w:ascii="Arial"/>
                <w:sz w:val="21"/>
              </w:rPr>
            </w:pPr>
          </w:p>
          <w:p w14:paraId="3D7AA5B5">
            <w:pPr>
              <w:pStyle w:val="80"/>
              <w:spacing w:before="58" w:line="220" w:lineRule="auto"/>
              <w:ind w:left="117"/>
            </w:pPr>
            <w:r>
              <w:rPr>
                <w:spacing w:val="-1"/>
              </w:rPr>
              <w:t>建议新增（改进）措施</w:t>
            </w:r>
          </w:p>
        </w:tc>
        <w:tc>
          <w:tcPr>
            <w:tcW w:w="213" w:type="pct"/>
            <w:vMerge w:val="restart"/>
            <w:tcBorders>
              <w:bottom w:val="nil"/>
            </w:tcBorders>
            <w:vAlign w:val="top"/>
          </w:tcPr>
          <w:p w14:paraId="1650B1E7">
            <w:pPr>
              <w:spacing w:line="299" w:lineRule="auto"/>
              <w:rPr>
                <w:rFonts w:ascii="Arial"/>
                <w:sz w:val="21"/>
              </w:rPr>
            </w:pPr>
          </w:p>
          <w:p w14:paraId="6A562420">
            <w:pPr>
              <w:spacing w:line="299" w:lineRule="auto"/>
              <w:rPr>
                <w:rFonts w:ascii="Arial"/>
                <w:sz w:val="21"/>
              </w:rPr>
            </w:pPr>
          </w:p>
          <w:p w14:paraId="7C8B76D9">
            <w:pPr>
              <w:pStyle w:val="80"/>
              <w:spacing w:before="59" w:line="221" w:lineRule="auto"/>
              <w:ind w:left="133"/>
            </w:pPr>
            <w:r>
              <w:rPr>
                <w:spacing w:val="-3"/>
              </w:rPr>
              <w:t>备注</w:t>
            </w:r>
          </w:p>
        </w:tc>
      </w:tr>
      <w:tr w14:paraId="34DE5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jc w:val="center"/>
        </w:trPr>
        <w:tc>
          <w:tcPr>
            <w:tcW w:w="166" w:type="pct"/>
            <w:vMerge w:val="continue"/>
            <w:tcBorders>
              <w:top w:val="nil"/>
            </w:tcBorders>
            <w:textDirection w:val="tbRlV"/>
            <w:vAlign w:val="top"/>
          </w:tcPr>
          <w:p w14:paraId="161E2FD1">
            <w:pPr>
              <w:rPr>
                <w:rFonts w:ascii="Arial"/>
                <w:sz w:val="21"/>
              </w:rPr>
            </w:pPr>
          </w:p>
        </w:tc>
        <w:tc>
          <w:tcPr>
            <w:tcW w:w="357" w:type="pct"/>
            <w:vMerge w:val="continue"/>
            <w:tcBorders>
              <w:top w:val="nil"/>
            </w:tcBorders>
            <w:vAlign w:val="top"/>
          </w:tcPr>
          <w:p w14:paraId="4796A0C7">
            <w:pPr>
              <w:rPr>
                <w:rFonts w:ascii="Arial"/>
                <w:sz w:val="21"/>
              </w:rPr>
            </w:pPr>
          </w:p>
        </w:tc>
        <w:tc>
          <w:tcPr>
            <w:tcW w:w="879" w:type="pct"/>
            <w:vMerge w:val="continue"/>
            <w:tcBorders>
              <w:top w:val="nil"/>
            </w:tcBorders>
            <w:vAlign w:val="top"/>
          </w:tcPr>
          <w:p w14:paraId="565D22B4">
            <w:pPr>
              <w:rPr>
                <w:rFonts w:ascii="Arial"/>
                <w:sz w:val="21"/>
              </w:rPr>
            </w:pPr>
          </w:p>
        </w:tc>
        <w:tc>
          <w:tcPr>
            <w:tcW w:w="624" w:type="pct"/>
            <w:vMerge w:val="continue"/>
            <w:tcBorders>
              <w:top w:val="nil"/>
            </w:tcBorders>
            <w:vAlign w:val="top"/>
          </w:tcPr>
          <w:p w14:paraId="6AFDBB83">
            <w:pPr>
              <w:rPr>
                <w:rFonts w:ascii="Arial"/>
                <w:sz w:val="21"/>
              </w:rPr>
            </w:pPr>
          </w:p>
        </w:tc>
        <w:tc>
          <w:tcPr>
            <w:tcW w:w="320" w:type="pct"/>
            <w:textDirection w:val="tbRlV"/>
            <w:vAlign w:val="top"/>
          </w:tcPr>
          <w:p w14:paraId="79DC46B4">
            <w:pPr>
              <w:pStyle w:val="80"/>
              <w:spacing w:before="194" w:line="209" w:lineRule="auto"/>
              <w:ind w:left="27"/>
            </w:pPr>
            <w:r>
              <w:rPr>
                <w:spacing w:val="40"/>
              </w:rPr>
              <w:t>工程技术</w:t>
            </w:r>
          </w:p>
        </w:tc>
        <w:tc>
          <w:tcPr>
            <w:tcW w:w="258" w:type="pct"/>
            <w:textDirection w:val="tbRlV"/>
            <w:vAlign w:val="top"/>
          </w:tcPr>
          <w:p w14:paraId="028836A0">
            <w:pPr>
              <w:pStyle w:val="80"/>
              <w:spacing w:before="120" w:line="209" w:lineRule="auto"/>
              <w:ind w:left="27"/>
            </w:pPr>
            <w:r>
              <w:rPr>
                <w:spacing w:val="40"/>
              </w:rPr>
              <w:t>管理措施</w:t>
            </w:r>
          </w:p>
        </w:tc>
        <w:tc>
          <w:tcPr>
            <w:tcW w:w="308" w:type="pct"/>
            <w:textDirection w:val="tbRlV"/>
            <w:vAlign w:val="top"/>
          </w:tcPr>
          <w:p w14:paraId="126C9EC0">
            <w:pPr>
              <w:pStyle w:val="80"/>
              <w:spacing w:before="192" w:line="207" w:lineRule="auto"/>
              <w:ind w:left="27"/>
            </w:pPr>
            <w:r>
              <w:rPr>
                <w:spacing w:val="40"/>
              </w:rPr>
              <w:t>培训教育</w:t>
            </w:r>
          </w:p>
        </w:tc>
        <w:tc>
          <w:tcPr>
            <w:tcW w:w="269" w:type="pct"/>
            <w:textDirection w:val="tbRlV"/>
            <w:vAlign w:val="top"/>
          </w:tcPr>
          <w:p w14:paraId="3665B464">
            <w:pPr>
              <w:pStyle w:val="80"/>
              <w:spacing w:before="120" w:line="208" w:lineRule="auto"/>
              <w:ind w:left="27"/>
            </w:pPr>
            <w:r>
              <w:rPr>
                <w:spacing w:val="40"/>
              </w:rPr>
              <w:t>个体防护</w:t>
            </w:r>
          </w:p>
        </w:tc>
        <w:tc>
          <w:tcPr>
            <w:tcW w:w="229" w:type="pct"/>
            <w:textDirection w:val="tbRlV"/>
            <w:vAlign w:val="top"/>
          </w:tcPr>
          <w:p w14:paraId="324402DD">
            <w:pPr>
              <w:pStyle w:val="80"/>
              <w:spacing w:before="121" w:line="211" w:lineRule="auto"/>
              <w:ind w:left="27"/>
            </w:pPr>
            <w:r>
              <w:rPr>
                <w:spacing w:val="40"/>
              </w:rPr>
              <w:t>应急处置</w:t>
            </w:r>
          </w:p>
        </w:tc>
        <w:tc>
          <w:tcPr>
            <w:tcW w:w="126" w:type="pct"/>
            <w:vMerge w:val="continue"/>
            <w:tcBorders>
              <w:top w:val="nil"/>
            </w:tcBorders>
            <w:vAlign w:val="top"/>
          </w:tcPr>
          <w:p w14:paraId="2425743E">
            <w:pPr>
              <w:rPr>
                <w:rFonts w:ascii="Arial"/>
                <w:sz w:val="21"/>
              </w:rPr>
            </w:pPr>
          </w:p>
        </w:tc>
        <w:tc>
          <w:tcPr>
            <w:tcW w:w="134" w:type="pct"/>
            <w:vMerge w:val="continue"/>
            <w:tcBorders>
              <w:top w:val="nil"/>
            </w:tcBorders>
            <w:vAlign w:val="top"/>
          </w:tcPr>
          <w:p w14:paraId="3C6B746F">
            <w:pPr>
              <w:rPr>
                <w:rFonts w:ascii="Arial"/>
                <w:sz w:val="21"/>
              </w:rPr>
            </w:pPr>
          </w:p>
        </w:tc>
        <w:tc>
          <w:tcPr>
            <w:tcW w:w="108" w:type="pct"/>
            <w:vMerge w:val="continue"/>
            <w:tcBorders>
              <w:top w:val="nil"/>
            </w:tcBorders>
            <w:vAlign w:val="top"/>
          </w:tcPr>
          <w:p w14:paraId="74D4FB31">
            <w:pPr>
              <w:rPr>
                <w:rFonts w:ascii="Arial"/>
                <w:sz w:val="21"/>
              </w:rPr>
            </w:pPr>
          </w:p>
        </w:tc>
        <w:tc>
          <w:tcPr>
            <w:tcW w:w="229" w:type="pct"/>
            <w:vMerge w:val="continue"/>
            <w:tcBorders>
              <w:top w:val="nil"/>
            </w:tcBorders>
            <w:textDirection w:val="tbRlV"/>
            <w:vAlign w:val="top"/>
          </w:tcPr>
          <w:p w14:paraId="4E027ABF">
            <w:pPr>
              <w:rPr>
                <w:rFonts w:ascii="Arial"/>
                <w:sz w:val="21"/>
              </w:rPr>
            </w:pPr>
          </w:p>
        </w:tc>
        <w:tc>
          <w:tcPr>
            <w:tcW w:w="263" w:type="pct"/>
            <w:vMerge w:val="continue"/>
            <w:tcBorders>
              <w:top w:val="nil"/>
            </w:tcBorders>
            <w:textDirection w:val="tbRlV"/>
            <w:vAlign w:val="top"/>
          </w:tcPr>
          <w:p w14:paraId="36A92372">
            <w:pPr>
              <w:rPr>
                <w:rFonts w:ascii="Arial"/>
                <w:sz w:val="21"/>
              </w:rPr>
            </w:pPr>
          </w:p>
        </w:tc>
        <w:tc>
          <w:tcPr>
            <w:tcW w:w="507" w:type="pct"/>
            <w:vMerge w:val="continue"/>
            <w:tcBorders>
              <w:top w:val="nil"/>
            </w:tcBorders>
            <w:vAlign w:val="top"/>
          </w:tcPr>
          <w:p w14:paraId="038D9259">
            <w:pPr>
              <w:rPr>
                <w:rFonts w:ascii="Arial"/>
                <w:sz w:val="21"/>
              </w:rPr>
            </w:pPr>
          </w:p>
        </w:tc>
        <w:tc>
          <w:tcPr>
            <w:tcW w:w="213" w:type="pct"/>
            <w:vMerge w:val="continue"/>
            <w:tcBorders>
              <w:top w:val="nil"/>
            </w:tcBorders>
            <w:vAlign w:val="top"/>
          </w:tcPr>
          <w:p w14:paraId="0EC3E35C">
            <w:pPr>
              <w:rPr>
                <w:rFonts w:ascii="Arial"/>
                <w:sz w:val="21"/>
              </w:rPr>
            </w:pPr>
          </w:p>
        </w:tc>
      </w:tr>
      <w:tr w14:paraId="720AA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7" w:hRule="atLeast"/>
          <w:jc w:val="center"/>
        </w:trPr>
        <w:tc>
          <w:tcPr>
            <w:tcW w:w="166" w:type="pct"/>
            <w:vAlign w:val="top"/>
          </w:tcPr>
          <w:p w14:paraId="2E1B3EE3">
            <w:pPr>
              <w:rPr>
                <w:rFonts w:ascii="Arial"/>
                <w:sz w:val="21"/>
              </w:rPr>
            </w:pPr>
          </w:p>
        </w:tc>
        <w:tc>
          <w:tcPr>
            <w:tcW w:w="357" w:type="pct"/>
            <w:vAlign w:val="top"/>
          </w:tcPr>
          <w:p w14:paraId="6FD14F48">
            <w:pPr>
              <w:rPr>
                <w:rFonts w:ascii="Arial"/>
                <w:sz w:val="21"/>
              </w:rPr>
            </w:pPr>
          </w:p>
        </w:tc>
        <w:tc>
          <w:tcPr>
            <w:tcW w:w="879" w:type="pct"/>
            <w:vAlign w:val="top"/>
          </w:tcPr>
          <w:p w14:paraId="37E40BED">
            <w:pPr>
              <w:rPr>
                <w:rFonts w:ascii="Arial"/>
                <w:sz w:val="21"/>
              </w:rPr>
            </w:pPr>
          </w:p>
        </w:tc>
        <w:tc>
          <w:tcPr>
            <w:tcW w:w="624" w:type="pct"/>
            <w:vAlign w:val="top"/>
          </w:tcPr>
          <w:p w14:paraId="3974B573">
            <w:pPr>
              <w:rPr>
                <w:rFonts w:ascii="Arial"/>
                <w:sz w:val="21"/>
              </w:rPr>
            </w:pPr>
          </w:p>
        </w:tc>
        <w:tc>
          <w:tcPr>
            <w:tcW w:w="320" w:type="pct"/>
            <w:vAlign w:val="top"/>
          </w:tcPr>
          <w:p w14:paraId="03393A66">
            <w:pPr>
              <w:rPr>
                <w:rFonts w:ascii="Arial"/>
                <w:sz w:val="21"/>
              </w:rPr>
            </w:pPr>
          </w:p>
        </w:tc>
        <w:tc>
          <w:tcPr>
            <w:tcW w:w="258" w:type="pct"/>
            <w:vAlign w:val="top"/>
          </w:tcPr>
          <w:p w14:paraId="74D9F812">
            <w:pPr>
              <w:rPr>
                <w:rFonts w:ascii="Arial"/>
                <w:sz w:val="21"/>
              </w:rPr>
            </w:pPr>
          </w:p>
        </w:tc>
        <w:tc>
          <w:tcPr>
            <w:tcW w:w="308" w:type="pct"/>
            <w:vAlign w:val="top"/>
          </w:tcPr>
          <w:p w14:paraId="27613872">
            <w:pPr>
              <w:rPr>
                <w:rFonts w:ascii="Arial"/>
                <w:sz w:val="21"/>
              </w:rPr>
            </w:pPr>
          </w:p>
        </w:tc>
        <w:tc>
          <w:tcPr>
            <w:tcW w:w="269" w:type="pct"/>
            <w:vAlign w:val="top"/>
          </w:tcPr>
          <w:p w14:paraId="774145CA">
            <w:pPr>
              <w:rPr>
                <w:rFonts w:ascii="Arial"/>
                <w:sz w:val="21"/>
              </w:rPr>
            </w:pPr>
          </w:p>
        </w:tc>
        <w:tc>
          <w:tcPr>
            <w:tcW w:w="229" w:type="pct"/>
            <w:vAlign w:val="top"/>
          </w:tcPr>
          <w:p w14:paraId="0282ACF3">
            <w:pPr>
              <w:rPr>
                <w:rFonts w:ascii="Arial"/>
                <w:sz w:val="21"/>
              </w:rPr>
            </w:pPr>
          </w:p>
        </w:tc>
        <w:tc>
          <w:tcPr>
            <w:tcW w:w="126" w:type="pct"/>
            <w:vAlign w:val="top"/>
          </w:tcPr>
          <w:p w14:paraId="561F40E6">
            <w:pPr>
              <w:rPr>
                <w:rFonts w:ascii="Arial"/>
                <w:sz w:val="21"/>
              </w:rPr>
            </w:pPr>
          </w:p>
        </w:tc>
        <w:tc>
          <w:tcPr>
            <w:tcW w:w="134" w:type="pct"/>
            <w:vAlign w:val="top"/>
          </w:tcPr>
          <w:p w14:paraId="7B75212C">
            <w:pPr>
              <w:rPr>
                <w:rFonts w:ascii="Arial"/>
                <w:sz w:val="21"/>
              </w:rPr>
            </w:pPr>
          </w:p>
        </w:tc>
        <w:tc>
          <w:tcPr>
            <w:tcW w:w="108" w:type="pct"/>
            <w:vAlign w:val="top"/>
          </w:tcPr>
          <w:p w14:paraId="2E71DF17">
            <w:pPr>
              <w:rPr>
                <w:rFonts w:ascii="Arial"/>
                <w:sz w:val="21"/>
              </w:rPr>
            </w:pPr>
          </w:p>
        </w:tc>
        <w:tc>
          <w:tcPr>
            <w:tcW w:w="229" w:type="pct"/>
            <w:vAlign w:val="top"/>
          </w:tcPr>
          <w:p w14:paraId="1EF55ED0">
            <w:pPr>
              <w:rPr>
                <w:rFonts w:ascii="Arial"/>
                <w:sz w:val="21"/>
              </w:rPr>
            </w:pPr>
          </w:p>
        </w:tc>
        <w:tc>
          <w:tcPr>
            <w:tcW w:w="263" w:type="pct"/>
            <w:vAlign w:val="top"/>
          </w:tcPr>
          <w:p w14:paraId="643070A1">
            <w:pPr>
              <w:rPr>
                <w:rFonts w:ascii="Arial"/>
                <w:sz w:val="21"/>
              </w:rPr>
            </w:pPr>
          </w:p>
        </w:tc>
        <w:tc>
          <w:tcPr>
            <w:tcW w:w="507" w:type="pct"/>
            <w:vAlign w:val="top"/>
          </w:tcPr>
          <w:p w14:paraId="0BF5935F">
            <w:pPr>
              <w:rPr>
                <w:rFonts w:ascii="Arial"/>
                <w:sz w:val="21"/>
              </w:rPr>
            </w:pPr>
          </w:p>
        </w:tc>
        <w:tc>
          <w:tcPr>
            <w:tcW w:w="213" w:type="pct"/>
            <w:vAlign w:val="top"/>
          </w:tcPr>
          <w:p w14:paraId="73B709AA">
            <w:pPr>
              <w:rPr>
                <w:rFonts w:ascii="Arial"/>
                <w:sz w:val="21"/>
              </w:rPr>
            </w:pPr>
          </w:p>
        </w:tc>
      </w:tr>
    </w:tbl>
    <w:p w14:paraId="6327A26F">
      <w:pPr>
        <w:spacing w:before="25" w:line="220" w:lineRule="auto"/>
        <w:ind w:left="779"/>
        <w:rPr>
          <w:rFonts w:ascii="宋体" w:hAnsi="宋体" w:eastAsia="宋体" w:cs="宋体"/>
          <w:spacing w:val="-9"/>
          <w:sz w:val="18"/>
          <w:szCs w:val="18"/>
        </w:rPr>
      </w:pPr>
      <w:r>
        <w:rPr>
          <w:rFonts w:ascii="宋体" w:hAnsi="宋体" w:eastAsia="宋体" w:cs="宋体"/>
          <w:spacing w:val="-9"/>
          <w:sz w:val="18"/>
          <w:szCs w:val="18"/>
        </w:rPr>
        <w:t>分析人：</w:t>
      </w:r>
      <w:r>
        <w:rPr>
          <w:rFonts w:ascii="宋体" w:hAnsi="宋体" w:eastAsia="宋体" w:cs="宋体"/>
          <w:spacing w:val="6"/>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审核人：</w:t>
      </w:r>
      <w:r>
        <w:rPr>
          <w:rFonts w:ascii="宋体" w:hAnsi="宋体" w:eastAsia="宋体" w:cs="宋体"/>
          <w:spacing w:val="4"/>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审定人：</w:t>
      </w:r>
      <w:r>
        <w:rPr>
          <w:rFonts w:ascii="宋体" w:hAnsi="宋体" w:eastAsia="宋体" w:cs="宋体"/>
          <w:spacing w:val="4"/>
          <w:sz w:val="18"/>
          <w:szCs w:val="18"/>
        </w:rPr>
        <w:t xml:space="preserve">        </w:t>
      </w:r>
      <w:r>
        <w:rPr>
          <w:rFonts w:ascii="宋体" w:hAnsi="宋体" w:eastAsia="宋体" w:cs="宋体"/>
          <w:spacing w:val="-9"/>
          <w:sz w:val="18"/>
          <w:szCs w:val="18"/>
        </w:rPr>
        <w:t>日期：</w:t>
      </w:r>
    </w:p>
    <w:p w14:paraId="2E793C02">
      <w:pPr>
        <w:spacing w:before="25" w:line="220" w:lineRule="auto"/>
        <w:rPr>
          <w:rFonts w:ascii="宋体" w:hAnsi="宋体" w:eastAsia="宋体" w:cs="宋体"/>
          <w:spacing w:val="-1"/>
          <w:sz w:val="18"/>
          <w:szCs w:val="18"/>
        </w:rPr>
      </w:pPr>
      <w:r>
        <w:rPr>
          <w:rFonts w:ascii="宋体" w:hAnsi="宋体" w:eastAsia="宋体" w:cs="宋体"/>
          <w:spacing w:val="2"/>
          <w:sz w:val="18"/>
          <w:szCs w:val="18"/>
        </w:rPr>
        <w:t>填表说明：1、审核人为</w:t>
      </w:r>
      <w:r>
        <w:rPr>
          <w:rFonts w:hint="eastAsia" w:ascii="宋体" w:hAnsi="宋体" w:eastAsia="宋体" w:cs="宋体"/>
          <w:spacing w:val="2"/>
          <w:sz w:val="18"/>
          <w:szCs w:val="18"/>
          <w:lang w:val="en-US" w:eastAsia="zh-CN"/>
        </w:rPr>
        <w:t>监测机构安全员</w:t>
      </w:r>
      <w:r>
        <w:rPr>
          <w:rFonts w:ascii="宋体" w:hAnsi="宋体" w:eastAsia="宋体" w:cs="宋体"/>
          <w:spacing w:val="2"/>
          <w:sz w:val="18"/>
          <w:szCs w:val="18"/>
        </w:rPr>
        <w:t>，审</w:t>
      </w:r>
      <w:r>
        <w:rPr>
          <w:rFonts w:ascii="宋体" w:hAnsi="宋体" w:eastAsia="宋体" w:cs="宋体"/>
          <w:spacing w:val="1"/>
          <w:sz w:val="18"/>
          <w:szCs w:val="18"/>
        </w:rPr>
        <w:t>定人为</w:t>
      </w:r>
      <w:r>
        <w:rPr>
          <w:rFonts w:hint="eastAsia" w:ascii="宋体" w:hAnsi="宋体" w:eastAsia="宋体" w:cs="宋体"/>
          <w:spacing w:val="1"/>
          <w:sz w:val="18"/>
          <w:szCs w:val="18"/>
          <w:lang w:val="en-US" w:eastAsia="zh-CN"/>
        </w:rPr>
        <w:t>安全责任人</w:t>
      </w:r>
      <w:r>
        <w:rPr>
          <w:rFonts w:ascii="宋体" w:hAnsi="宋体" w:eastAsia="宋体" w:cs="宋体"/>
          <w:spacing w:val="1"/>
          <w:sz w:val="18"/>
          <w:szCs w:val="18"/>
        </w:rPr>
        <w:t>。2、评价级别是指运用风险评价方法，确定</w:t>
      </w:r>
      <w:r>
        <w:rPr>
          <w:rFonts w:ascii="宋体" w:hAnsi="宋体" w:eastAsia="宋体" w:cs="宋体"/>
          <w:sz w:val="18"/>
          <w:szCs w:val="18"/>
        </w:rPr>
        <w:t>的风险等级。3、管控级别是指按照风险等级规定的对应原则，划分的</w:t>
      </w:r>
      <w:r>
        <w:rPr>
          <w:rFonts w:ascii="宋体" w:hAnsi="宋体" w:eastAsia="宋体" w:cs="宋体"/>
          <w:spacing w:val="-1"/>
          <w:sz w:val="18"/>
          <w:szCs w:val="18"/>
        </w:rPr>
        <w:t>重大风险、较大风险、一般风险</w:t>
      </w:r>
      <w:r>
        <w:rPr>
          <w:rFonts w:ascii="宋体" w:hAnsi="宋体" w:eastAsia="宋体" w:cs="宋体"/>
          <w:sz w:val="18"/>
          <w:szCs w:val="18"/>
        </w:rPr>
        <w:t xml:space="preserve"> </w:t>
      </w:r>
      <w:r>
        <w:rPr>
          <w:rFonts w:ascii="宋体" w:hAnsi="宋体" w:eastAsia="宋体" w:cs="宋体"/>
          <w:spacing w:val="-1"/>
          <w:sz w:val="18"/>
          <w:szCs w:val="18"/>
        </w:rPr>
        <w:t>和低风险，分别用“红、橙、黄、蓝”标识。</w:t>
      </w:r>
    </w:p>
    <w:p w14:paraId="4FF79C28">
      <w:pPr>
        <w:pStyle w:val="79"/>
        <w:numPr>
          <w:ilvl w:val="0"/>
          <w:numId w:val="0"/>
        </w:numPr>
        <w:tabs>
          <w:tab w:val="left" w:pos="180"/>
        </w:tabs>
        <w:spacing w:before="156" w:after="156"/>
        <w:ind w:left="3114"/>
        <w:jc w:val="both"/>
        <w:rPr>
          <w:rFonts w:hint="eastAsia" w:ascii="黑体" w:hAnsi="Times New Roman" w:eastAsia="黑体" w:cs="Times New Roman"/>
          <w:spacing w:val="0"/>
          <w:sz w:val="21"/>
          <w:szCs w:val="20"/>
        </w:rPr>
        <w:sectPr>
          <w:headerReference r:id="rId8" w:type="default"/>
          <w:footerReference r:id="rId9" w:type="default"/>
          <w:pgSz w:w="11907" w:h="16839"/>
          <w:pgMar w:top="1662" w:right="1132" w:bottom="1313" w:left="1785" w:header="1431" w:footer="1135" w:gutter="0"/>
          <w:pgNumType w:fmt="decimal"/>
          <w:cols w:space="720" w:num="1"/>
        </w:sectPr>
      </w:pPr>
    </w:p>
    <w:p w14:paraId="3DB83A62">
      <w:pPr>
        <w:pStyle w:val="79"/>
        <w:numPr>
          <w:ilvl w:val="0"/>
          <w:numId w:val="0"/>
        </w:numPr>
        <w:tabs>
          <w:tab w:val="left" w:pos="180"/>
        </w:tabs>
        <w:spacing w:before="156" w:after="156"/>
        <w:ind w:left="3114"/>
        <w:jc w:val="both"/>
        <w:rPr>
          <w:rFonts w:hint="eastAsia" w:ascii="黑体" w:hAnsi="Times New Roman" w:eastAsia="黑体" w:cs="Times New Roman"/>
          <w:sz w:val="21"/>
          <w:szCs w:val="20"/>
        </w:rPr>
      </w:pPr>
      <w:r>
        <w:rPr>
          <w:rFonts w:hint="eastAsia" w:ascii="黑体" w:hAnsi="Times New Roman" w:eastAsia="黑体" w:cs="Times New Roman"/>
          <w:spacing w:val="0"/>
          <w:sz w:val="21"/>
          <w:szCs w:val="20"/>
        </w:rPr>
        <w:t xml:space="preserve">表 </w:t>
      </w:r>
      <w:r>
        <w:rPr>
          <w:rFonts w:hint="eastAsia" w:ascii="黑体" w:hAnsi="Times New Roman" w:eastAsia="黑体" w:cs="Times New Roman"/>
          <w:spacing w:val="0"/>
          <w:sz w:val="21"/>
          <w:szCs w:val="20"/>
          <w:lang w:val="en-US" w:eastAsia="zh-CN"/>
        </w:rPr>
        <w:t>B.3安全检查表分析</w:t>
      </w:r>
      <w:r>
        <w:rPr>
          <w:rFonts w:hint="eastAsia" w:ascii="黑体" w:hAnsi="Times New Roman" w:eastAsia="黑体" w:cs="Times New Roman"/>
          <w:spacing w:val="0"/>
          <w:sz w:val="21"/>
          <w:szCs w:val="20"/>
        </w:rPr>
        <w:t>（</w:t>
      </w:r>
      <w:r>
        <w:rPr>
          <w:rFonts w:hint="eastAsia" w:ascii="黑体" w:hAnsi="Times New Roman" w:eastAsia="黑体" w:cs="Times New Roman"/>
          <w:spacing w:val="0"/>
          <w:sz w:val="21"/>
          <w:szCs w:val="20"/>
          <w:lang w:val="en-US" w:eastAsia="zh-CN"/>
        </w:rPr>
        <w:t>SCL</w:t>
      </w:r>
      <w:r>
        <w:rPr>
          <w:rFonts w:hint="eastAsia" w:ascii="黑体" w:hAnsi="Times New Roman" w:eastAsia="黑体" w:cs="Times New Roman"/>
          <w:spacing w:val="0"/>
          <w:sz w:val="21"/>
          <w:szCs w:val="20"/>
        </w:rPr>
        <w:t>+</w:t>
      </w:r>
      <w:r>
        <w:rPr>
          <w:rFonts w:hint="eastAsia" w:ascii="黑体" w:hAnsi="Times New Roman" w:eastAsia="黑体" w:cs="Times New Roman"/>
          <w:spacing w:val="0"/>
          <w:sz w:val="21"/>
          <w:szCs w:val="20"/>
          <w:lang w:val="en-US" w:eastAsia="zh-CN"/>
        </w:rPr>
        <w:t>MES</w:t>
      </w:r>
      <w:r>
        <w:rPr>
          <w:rFonts w:hint="eastAsia" w:ascii="黑体" w:hAnsi="Times New Roman" w:eastAsia="黑体" w:cs="Times New Roman"/>
          <w:spacing w:val="0"/>
          <w:sz w:val="21"/>
          <w:szCs w:val="20"/>
        </w:rPr>
        <w:t>）评价记录</w:t>
      </w:r>
    </w:p>
    <w:p w14:paraId="460342DB">
      <w:pPr>
        <w:spacing w:before="189" w:line="213" w:lineRule="auto"/>
        <w:rPr>
          <w:rFonts w:ascii="宋体" w:hAnsi="宋体" w:eastAsia="宋体" w:cs="宋体"/>
          <w:sz w:val="18"/>
          <w:szCs w:val="18"/>
        </w:rPr>
      </w:pPr>
      <w:r>
        <w:rPr>
          <w:rFonts w:ascii="宋体" w:hAnsi="宋体" w:eastAsia="宋体" w:cs="宋体"/>
          <w:sz w:val="18"/>
          <w:szCs w:val="18"/>
        </w:rPr>
        <w:t xml:space="preserve">（记录受控号）单位：             岗位：        风险点（区域/装置/设备/设施）名称：          </w:t>
      </w:r>
      <w:r>
        <w:rPr>
          <w:rFonts w:ascii="宋体" w:hAnsi="宋体" w:eastAsia="宋体" w:cs="宋体"/>
          <w:spacing w:val="-1"/>
          <w:sz w:val="18"/>
          <w:szCs w:val="18"/>
        </w:rPr>
        <w:t xml:space="preserve">    No：</w:t>
      </w:r>
    </w:p>
    <w:tbl>
      <w:tblPr>
        <w:tblStyle w:val="14"/>
        <w:tblW w:w="537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37"/>
        <w:gridCol w:w="781"/>
        <w:gridCol w:w="1607"/>
        <w:gridCol w:w="1212"/>
        <w:gridCol w:w="618"/>
        <w:gridCol w:w="545"/>
        <w:gridCol w:w="587"/>
        <w:gridCol w:w="427"/>
        <w:gridCol w:w="409"/>
        <w:gridCol w:w="215"/>
        <w:gridCol w:w="215"/>
        <w:gridCol w:w="231"/>
        <w:gridCol w:w="215"/>
        <w:gridCol w:w="430"/>
        <w:gridCol w:w="494"/>
        <w:gridCol w:w="949"/>
        <w:gridCol w:w="406"/>
      </w:tblGrid>
      <w:tr w14:paraId="7CCC8F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jc w:val="center"/>
        </w:trPr>
        <w:tc>
          <w:tcPr>
            <w:tcW w:w="174" w:type="pct"/>
            <w:vMerge w:val="restart"/>
            <w:tcBorders>
              <w:bottom w:val="nil"/>
            </w:tcBorders>
            <w:textDirection w:val="tbRlV"/>
            <w:vAlign w:val="top"/>
          </w:tcPr>
          <w:p w14:paraId="3917EC16">
            <w:pPr>
              <w:pStyle w:val="80"/>
              <w:spacing w:before="26" w:line="210" w:lineRule="auto"/>
              <w:ind w:left="543"/>
            </w:pPr>
            <w:r>
              <w:rPr>
                <w:spacing w:val="26"/>
              </w:rPr>
              <w:t>序号</w:t>
            </w:r>
          </w:p>
        </w:tc>
        <w:tc>
          <w:tcPr>
            <w:tcW w:w="403" w:type="pct"/>
            <w:vMerge w:val="restart"/>
            <w:tcBorders>
              <w:bottom w:val="nil"/>
            </w:tcBorders>
            <w:vAlign w:val="center"/>
          </w:tcPr>
          <w:p w14:paraId="5A13D640">
            <w:pPr>
              <w:spacing w:line="338" w:lineRule="auto"/>
              <w:jc w:val="center"/>
              <w:rPr>
                <w:rFonts w:ascii="Arial"/>
                <w:sz w:val="21"/>
              </w:rPr>
            </w:pPr>
          </w:p>
          <w:p w14:paraId="4FDA724D">
            <w:pPr>
              <w:pStyle w:val="80"/>
              <w:spacing w:before="59" w:line="220" w:lineRule="auto"/>
              <w:ind w:left="67" w:leftChars="0"/>
              <w:jc w:val="center"/>
            </w:pPr>
            <w:r>
              <w:rPr>
                <w:spacing w:val="-2"/>
              </w:rPr>
              <w:t>检查项目</w:t>
            </w:r>
          </w:p>
        </w:tc>
        <w:tc>
          <w:tcPr>
            <w:tcW w:w="829" w:type="pct"/>
            <w:vMerge w:val="restart"/>
            <w:tcBorders>
              <w:bottom w:val="nil"/>
            </w:tcBorders>
            <w:vAlign w:val="center"/>
          </w:tcPr>
          <w:p w14:paraId="737095E9">
            <w:pPr>
              <w:spacing w:line="339" w:lineRule="auto"/>
              <w:jc w:val="center"/>
              <w:rPr>
                <w:rFonts w:ascii="Arial"/>
                <w:sz w:val="21"/>
              </w:rPr>
            </w:pPr>
          </w:p>
          <w:p w14:paraId="2F53BE66">
            <w:pPr>
              <w:pStyle w:val="80"/>
              <w:spacing w:before="58" w:line="220" w:lineRule="auto"/>
              <w:ind w:left="103" w:leftChars="0"/>
              <w:jc w:val="center"/>
            </w:pPr>
            <w:r>
              <w:rPr>
                <w:spacing w:val="-2"/>
              </w:rPr>
              <w:t>标准</w:t>
            </w:r>
          </w:p>
        </w:tc>
        <w:tc>
          <w:tcPr>
            <w:tcW w:w="625" w:type="pct"/>
            <w:vMerge w:val="restart"/>
            <w:tcBorders>
              <w:bottom w:val="nil"/>
            </w:tcBorders>
            <w:vAlign w:val="center"/>
          </w:tcPr>
          <w:p w14:paraId="22DCE549">
            <w:pPr>
              <w:pStyle w:val="80"/>
              <w:spacing w:before="281" w:line="231" w:lineRule="auto"/>
              <w:ind w:left="46" w:leftChars="0" w:right="49" w:rightChars="0" w:firstLine="2" w:firstLineChars="0"/>
              <w:jc w:val="center"/>
            </w:pPr>
            <w:r>
              <w:rPr>
                <w:spacing w:val="-2"/>
              </w:rPr>
              <w:t>不符合标准</w:t>
            </w:r>
            <w:r>
              <w:t xml:space="preserve"> </w:t>
            </w:r>
            <w:r>
              <w:rPr>
                <w:spacing w:val="-2"/>
              </w:rPr>
              <w:t>情况及后果</w:t>
            </w:r>
          </w:p>
        </w:tc>
        <w:tc>
          <w:tcPr>
            <w:tcW w:w="1334" w:type="pct"/>
            <w:gridSpan w:val="5"/>
            <w:vAlign w:val="top"/>
          </w:tcPr>
          <w:p w14:paraId="749D9746">
            <w:pPr>
              <w:pStyle w:val="80"/>
              <w:spacing w:before="188" w:line="220" w:lineRule="auto"/>
              <w:ind w:left="667"/>
            </w:pPr>
            <w:r>
              <w:rPr>
                <w:spacing w:val="-2"/>
              </w:rPr>
              <w:t>现有控制措施</w:t>
            </w:r>
          </w:p>
        </w:tc>
        <w:tc>
          <w:tcPr>
            <w:tcW w:w="111" w:type="pct"/>
            <w:vMerge w:val="restart"/>
            <w:vAlign w:val="top"/>
          </w:tcPr>
          <w:p w14:paraId="05866C38">
            <w:pPr>
              <w:spacing w:line="315" w:lineRule="auto"/>
              <w:rPr>
                <w:rFonts w:ascii="Arial"/>
                <w:sz w:val="21"/>
              </w:rPr>
            </w:pPr>
          </w:p>
          <w:p w14:paraId="50315275">
            <w:pPr>
              <w:spacing w:line="315" w:lineRule="auto"/>
              <w:rPr>
                <w:rFonts w:ascii="Arial"/>
                <w:sz w:val="21"/>
              </w:rPr>
            </w:pPr>
          </w:p>
          <w:p w14:paraId="196BABCA">
            <w:pPr>
              <w:pStyle w:val="80"/>
              <w:spacing w:before="58" w:line="180" w:lineRule="auto"/>
              <w:ind w:left="110" w:leftChars="0"/>
              <w:rPr>
                <w:rFonts w:hint="eastAsia" w:ascii="Arial" w:eastAsia="宋体"/>
                <w:sz w:val="21"/>
                <w:lang w:eastAsia="zh-CN"/>
              </w:rPr>
            </w:pPr>
            <w:r>
              <w:rPr>
                <w:rFonts w:hint="eastAsia"/>
                <w:lang w:val="en-US" w:eastAsia="zh-CN"/>
              </w:rPr>
              <w:t>M</w:t>
            </w:r>
          </w:p>
        </w:tc>
        <w:tc>
          <w:tcPr>
            <w:tcW w:w="111" w:type="pct"/>
            <w:vMerge w:val="restart"/>
            <w:vAlign w:val="top"/>
          </w:tcPr>
          <w:p w14:paraId="639D69FE">
            <w:pPr>
              <w:spacing w:line="315" w:lineRule="auto"/>
              <w:rPr>
                <w:rFonts w:ascii="Arial"/>
                <w:sz w:val="21"/>
              </w:rPr>
            </w:pPr>
          </w:p>
          <w:p w14:paraId="6F59B584">
            <w:pPr>
              <w:spacing w:line="315" w:lineRule="auto"/>
              <w:rPr>
                <w:rFonts w:ascii="Arial"/>
                <w:sz w:val="21"/>
              </w:rPr>
            </w:pPr>
          </w:p>
          <w:p w14:paraId="704EB9DE">
            <w:pPr>
              <w:pStyle w:val="80"/>
              <w:spacing w:before="58" w:line="180" w:lineRule="auto"/>
              <w:ind w:left="109" w:leftChars="0"/>
              <w:rPr>
                <w:rFonts w:ascii="Arial"/>
                <w:sz w:val="21"/>
              </w:rPr>
            </w:pPr>
            <w:r>
              <w:t>E</w:t>
            </w:r>
          </w:p>
        </w:tc>
        <w:tc>
          <w:tcPr>
            <w:tcW w:w="119" w:type="pct"/>
            <w:vMerge w:val="restart"/>
            <w:vAlign w:val="top"/>
          </w:tcPr>
          <w:p w14:paraId="73692534">
            <w:pPr>
              <w:spacing w:line="314" w:lineRule="auto"/>
              <w:rPr>
                <w:rFonts w:ascii="Arial"/>
                <w:sz w:val="21"/>
              </w:rPr>
            </w:pPr>
          </w:p>
          <w:p w14:paraId="41E6FDC5">
            <w:pPr>
              <w:spacing w:line="315" w:lineRule="auto"/>
              <w:rPr>
                <w:rFonts w:ascii="Arial"/>
                <w:sz w:val="21"/>
              </w:rPr>
            </w:pPr>
          </w:p>
          <w:p w14:paraId="7E762854">
            <w:pPr>
              <w:pStyle w:val="80"/>
              <w:spacing w:before="58" w:line="181" w:lineRule="auto"/>
              <w:ind w:left="110" w:leftChars="0"/>
              <w:rPr>
                <w:rFonts w:hint="eastAsia" w:ascii="宋体"/>
                <w:sz w:val="21"/>
                <w:lang w:eastAsia="zh-CN"/>
              </w:rPr>
            </w:pPr>
            <w:r>
              <w:rPr>
                <w:rFonts w:hint="eastAsia"/>
                <w:sz w:val="21"/>
                <w:lang w:val="en-US" w:eastAsia="zh-CN"/>
              </w:rPr>
              <w:t>S</w:t>
            </w:r>
          </w:p>
        </w:tc>
        <w:tc>
          <w:tcPr>
            <w:tcW w:w="111" w:type="pct"/>
            <w:vMerge w:val="restart"/>
            <w:vAlign w:val="top"/>
          </w:tcPr>
          <w:p w14:paraId="216C41B3">
            <w:pPr>
              <w:spacing w:line="315" w:lineRule="auto"/>
              <w:rPr>
                <w:rFonts w:ascii="Arial"/>
                <w:sz w:val="21"/>
              </w:rPr>
            </w:pPr>
          </w:p>
          <w:p w14:paraId="5E093623">
            <w:pPr>
              <w:spacing w:line="315" w:lineRule="auto"/>
              <w:rPr>
                <w:rFonts w:ascii="Arial"/>
                <w:sz w:val="21"/>
              </w:rPr>
            </w:pPr>
          </w:p>
          <w:p w14:paraId="1299B6EC">
            <w:pPr>
              <w:pStyle w:val="80"/>
              <w:spacing w:before="58" w:line="180" w:lineRule="auto"/>
              <w:ind w:left="109" w:leftChars="0"/>
              <w:rPr>
                <w:rFonts w:hint="eastAsia" w:ascii="宋体"/>
                <w:sz w:val="21"/>
                <w:lang w:eastAsia="zh-CN"/>
              </w:rPr>
            </w:pPr>
            <w:r>
              <w:rPr>
                <w:rFonts w:hint="eastAsia"/>
                <w:lang w:val="en-US" w:eastAsia="zh-CN"/>
              </w:rPr>
              <w:t>R</w:t>
            </w:r>
          </w:p>
        </w:tc>
        <w:tc>
          <w:tcPr>
            <w:tcW w:w="222" w:type="pct"/>
            <w:vMerge w:val="restart"/>
            <w:tcBorders>
              <w:bottom w:val="nil"/>
            </w:tcBorders>
            <w:textDirection w:val="tbRlV"/>
            <w:vAlign w:val="top"/>
          </w:tcPr>
          <w:p w14:paraId="3AD683A5">
            <w:pPr>
              <w:pStyle w:val="80"/>
              <w:spacing w:before="191" w:line="207" w:lineRule="auto"/>
              <w:ind w:left="310"/>
            </w:pPr>
            <w:r>
              <w:rPr>
                <w:spacing w:val="39"/>
              </w:rPr>
              <w:t>评价级别</w:t>
            </w:r>
          </w:p>
        </w:tc>
        <w:tc>
          <w:tcPr>
            <w:tcW w:w="255" w:type="pct"/>
            <w:vMerge w:val="restart"/>
            <w:tcBorders>
              <w:bottom w:val="nil"/>
            </w:tcBorders>
            <w:textDirection w:val="tbRlV"/>
            <w:vAlign w:val="top"/>
          </w:tcPr>
          <w:p w14:paraId="4663CB94">
            <w:pPr>
              <w:pStyle w:val="80"/>
              <w:spacing w:before="190" w:line="209" w:lineRule="auto"/>
              <w:ind w:left="310"/>
            </w:pPr>
            <w:r>
              <w:rPr>
                <w:spacing w:val="39"/>
              </w:rPr>
              <w:t>管控级别</w:t>
            </w:r>
          </w:p>
        </w:tc>
        <w:tc>
          <w:tcPr>
            <w:tcW w:w="489" w:type="pct"/>
            <w:vMerge w:val="restart"/>
            <w:tcBorders>
              <w:bottom w:val="nil"/>
            </w:tcBorders>
            <w:vAlign w:val="top"/>
          </w:tcPr>
          <w:p w14:paraId="6069825B">
            <w:pPr>
              <w:spacing w:line="299" w:lineRule="auto"/>
              <w:rPr>
                <w:rFonts w:ascii="Arial"/>
                <w:sz w:val="21"/>
              </w:rPr>
            </w:pPr>
          </w:p>
          <w:p w14:paraId="2409988C">
            <w:pPr>
              <w:spacing w:line="299" w:lineRule="auto"/>
              <w:rPr>
                <w:rFonts w:ascii="Arial"/>
                <w:sz w:val="21"/>
              </w:rPr>
            </w:pPr>
          </w:p>
          <w:p w14:paraId="39751C12">
            <w:pPr>
              <w:pStyle w:val="80"/>
              <w:spacing w:before="58" w:line="220" w:lineRule="auto"/>
              <w:ind w:left="117"/>
            </w:pPr>
            <w:r>
              <w:rPr>
                <w:spacing w:val="-1"/>
              </w:rPr>
              <w:t>建议新增（改进）措施</w:t>
            </w:r>
          </w:p>
        </w:tc>
        <w:tc>
          <w:tcPr>
            <w:tcW w:w="209" w:type="pct"/>
            <w:vMerge w:val="restart"/>
            <w:tcBorders>
              <w:bottom w:val="nil"/>
            </w:tcBorders>
            <w:vAlign w:val="top"/>
          </w:tcPr>
          <w:p w14:paraId="0428A12F">
            <w:pPr>
              <w:spacing w:line="299" w:lineRule="auto"/>
              <w:rPr>
                <w:rFonts w:ascii="Arial"/>
                <w:sz w:val="21"/>
              </w:rPr>
            </w:pPr>
          </w:p>
          <w:p w14:paraId="1C11680D">
            <w:pPr>
              <w:spacing w:line="299" w:lineRule="auto"/>
              <w:rPr>
                <w:rFonts w:ascii="Arial"/>
                <w:sz w:val="21"/>
              </w:rPr>
            </w:pPr>
          </w:p>
          <w:p w14:paraId="4EC1064C">
            <w:pPr>
              <w:pStyle w:val="80"/>
              <w:spacing w:before="59" w:line="221" w:lineRule="auto"/>
              <w:ind w:left="133"/>
            </w:pPr>
            <w:r>
              <w:rPr>
                <w:spacing w:val="-3"/>
              </w:rPr>
              <w:t>备注</w:t>
            </w:r>
          </w:p>
        </w:tc>
      </w:tr>
      <w:tr w14:paraId="4184A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jc w:val="center"/>
        </w:trPr>
        <w:tc>
          <w:tcPr>
            <w:tcW w:w="174" w:type="pct"/>
            <w:vMerge w:val="continue"/>
            <w:tcBorders>
              <w:top w:val="nil"/>
            </w:tcBorders>
            <w:textDirection w:val="tbRlV"/>
            <w:vAlign w:val="top"/>
          </w:tcPr>
          <w:p w14:paraId="381D905D">
            <w:pPr>
              <w:rPr>
                <w:rFonts w:ascii="Arial"/>
                <w:sz w:val="21"/>
              </w:rPr>
            </w:pPr>
          </w:p>
        </w:tc>
        <w:tc>
          <w:tcPr>
            <w:tcW w:w="403" w:type="pct"/>
            <w:vMerge w:val="continue"/>
            <w:tcBorders>
              <w:top w:val="nil"/>
            </w:tcBorders>
            <w:vAlign w:val="top"/>
          </w:tcPr>
          <w:p w14:paraId="40313A4E">
            <w:pPr>
              <w:rPr>
                <w:rFonts w:ascii="Arial"/>
                <w:sz w:val="21"/>
              </w:rPr>
            </w:pPr>
          </w:p>
        </w:tc>
        <w:tc>
          <w:tcPr>
            <w:tcW w:w="829" w:type="pct"/>
            <w:vMerge w:val="continue"/>
            <w:tcBorders>
              <w:top w:val="nil"/>
            </w:tcBorders>
            <w:vAlign w:val="top"/>
          </w:tcPr>
          <w:p w14:paraId="1EF70AA3">
            <w:pPr>
              <w:rPr>
                <w:rFonts w:ascii="Arial"/>
                <w:sz w:val="21"/>
              </w:rPr>
            </w:pPr>
          </w:p>
        </w:tc>
        <w:tc>
          <w:tcPr>
            <w:tcW w:w="625" w:type="pct"/>
            <w:vMerge w:val="continue"/>
            <w:tcBorders>
              <w:top w:val="nil"/>
            </w:tcBorders>
            <w:vAlign w:val="top"/>
          </w:tcPr>
          <w:p w14:paraId="7BE00508">
            <w:pPr>
              <w:rPr>
                <w:rFonts w:ascii="Arial"/>
                <w:sz w:val="21"/>
              </w:rPr>
            </w:pPr>
          </w:p>
        </w:tc>
        <w:tc>
          <w:tcPr>
            <w:tcW w:w="319" w:type="pct"/>
            <w:textDirection w:val="tbRlV"/>
            <w:vAlign w:val="top"/>
          </w:tcPr>
          <w:p w14:paraId="1633C9F7">
            <w:pPr>
              <w:pStyle w:val="80"/>
              <w:spacing w:before="194" w:line="209" w:lineRule="auto"/>
              <w:ind w:left="27"/>
            </w:pPr>
            <w:r>
              <w:rPr>
                <w:spacing w:val="40"/>
              </w:rPr>
              <w:t>工程技术</w:t>
            </w:r>
          </w:p>
        </w:tc>
        <w:tc>
          <w:tcPr>
            <w:tcW w:w="281" w:type="pct"/>
            <w:textDirection w:val="tbRlV"/>
            <w:vAlign w:val="top"/>
          </w:tcPr>
          <w:p w14:paraId="6BC73ABA">
            <w:pPr>
              <w:pStyle w:val="80"/>
              <w:spacing w:before="120" w:line="209" w:lineRule="auto"/>
              <w:ind w:left="27"/>
            </w:pPr>
            <w:r>
              <w:rPr>
                <w:spacing w:val="40"/>
              </w:rPr>
              <w:t>管理措施</w:t>
            </w:r>
          </w:p>
        </w:tc>
        <w:tc>
          <w:tcPr>
            <w:tcW w:w="303" w:type="pct"/>
            <w:textDirection w:val="tbRlV"/>
            <w:vAlign w:val="top"/>
          </w:tcPr>
          <w:p w14:paraId="2DD85CEB">
            <w:pPr>
              <w:pStyle w:val="80"/>
              <w:spacing w:before="192" w:line="207" w:lineRule="auto"/>
              <w:ind w:left="27"/>
            </w:pPr>
            <w:r>
              <w:rPr>
                <w:spacing w:val="40"/>
              </w:rPr>
              <w:t>培训教育</w:t>
            </w:r>
          </w:p>
        </w:tc>
        <w:tc>
          <w:tcPr>
            <w:tcW w:w="220" w:type="pct"/>
            <w:textDirection w:val="tbRlV"/>
            <w:vAlign w:val="top"/>
          </w:tcPr>
          <w:p w14:paraId="38CEC973">
            <w:pPr>
              <w:pStyle w:val="80"/>
              <w:spacing w:before="120" w:line="208" w:lineRule="auto"/>
              <w:ind w:left="27"/>
            </w:pPr>
            <w:r>
              <w:rPr>
                <w:spacing w:val="40"/>
              </w:rPr>
              <w:t>个体防护</w:t>
            </w:r>
          </w:p>
        </w:tc>
        <w:tc>
          <w:tcPr>
            <w:tcW w:w="209" w:type="pct"/>
            <w:textDirection w:val="tbRlV"/>
            <w:vAlign w:val="top"/>
          </w:tcPr>
          <w:p w14:paraId="281F4DDE">
            <w:pPr>
              <w:pStyle w:val="80"/>
              <w:spacing w:before="121" w:line="211" w:lineRule="auto"/>
              <w:ind w:left="27"/>
            </w:pPr>
            <w:r>
              <w:rPr>
                <w:spacing w:val="40"/>
              </w:rPr>
              <w:t>应急处置</w:t>
            </w:r>
          </w:p>
        </w:tc>
        <w:tc>
          <w:tcPr>
            <w:tcW w:w="111" w:type="pct"/>
            <w:vMerge w:val="continue"/>
            <w:vAlign w:val="top"/>
          </w:tcPr>
          <w:p w14:paraId="213CC14A">
            <w:pPr>
              <w:pStyle w:val="80"/>
              <w:spacing w:before="58" w:line="180" w:lineRule="auto"/>
              <w:ind w:left="109" w:leftChars="0"/>
              <w:rPr>
                <w:rFonts w:ascii="Arial"/>
                <w:sz w:val="21"/>
              </w:rPr>
            </w:pPr>
          </w:p>
        </w:tc>
        <w:tc>
          <w:tcPr>
            <w:tcW w:w="111" w:type="pct"/>
            <w:vMerge w:val="continue"/>
            <w:vAlign w:val="top"/>
          </w:tcPr>
          <w:p w14:paraId="3EE9C6CC">
            <w:pPr>
              <w:pStyle w:val="80"/>
              <w:spacing w:before="58" w:line="181" w:lineRule="auto"/>
              <w:ind w:left="110" w:leftChars="0"/>
              <w:rPr>
                <w:rFonts w:ascii="Arial"/>
                <w:sz w:val="21"/>
              </w:rPr>
            </w:pPr>
          </w:p>
        </w:tc>
        <w:tc>
          <w:tcPr>
            <w:tcW w:w="119" w:type="pct"/>
            <w:vMerge w:val="continue"/>
            <w:vAlign w:val="top"/>
          </w:tcPr>
          <w:p w14:paraId="242C5ED9">
            <w:pPr>
              <w:pStyle w:val="80"/>
              <w:spacing w:before="58" w:line="180" w:lineRule="auto"/>
              <w:ind w:left="108" w:leftChars="0"/>
              <w:rPr>
                <w:rFonts w:hint="eastAsia" w:ascii="宋体" w:hAnsi="宋体" w:eastAsia="宋体" w:cs="宋体"/>
                <w:sz w:val="21"/>
              </w:rPr>
            </w:pPr>
          </w:p>
        </w:tc>
        <w:tc>
          <w:tcPr>
            <w:tcW w:w="111" w:type="pct"/>
            <w:vMerge w:val="continue"/>
            <w:vAlign w:val="top"/>
          </w:tcPr>
          <w:p w14:paraId="0CEE8A98">
            <w:pPr>
              <w:pStyle w:val="80"/>
              <w:spacing w:before="58" w:line="180" w:lineRule="auto"/>
              <w:ind w:left="109" w:leftChars="0"/>
              <w:rPr>
                <w:rFonts w:hint="eastAsia" w:ascii="宋体" w:hAnsi="宋体" w:eastAsia="宋体" w:cs="宋体"/>
                <w:sz w:val="21"/>
              </w:rPr>
            </w:pPr>
          </w:p>
        </w:tc>
        <w:tc>
          <w:tcPr>
            <w:tcW w:w="222" w:type="pct"/>
            <w:vMerge w:val="continue"/>
            <w:tcBorders>
              <w:top w:val="nil"/>
            </w:tcBorders>
            <w:textDirection w:val="tbRlV"/>
            <w:vAlign w:val="top"/>
          </w:tcPr>
          <w:p w14:paraId="1D42CB73">
            <w:pPr>
              <w:rPr>
                <w:rFonts w:ascii="Arial"/>
                <w:sz w:val="21"/>
              </w:rPr>
            </w:pPr>
          </w:p>
        </w:tc>
        <w:tc>
          <w:tcPr>
            <w:tcW w:w="255" w:type="pct"/>
            <w:vMerge w:val="continue"/>
            <w:tcBorders>
              <w:top w:val="nil"/>
            </w:tcBorders>
            <w:textDirection w:val="tbRlV"/>
            <w:vAlign w:val="top"/>
          </w:tcPr>
          <w:p w14:paraId="1C2AB12C">
            <w:pPr>
              <w:rPr>
                <w:rFonts w:ascii="Arial"/>
                <w:sz w:val="21"/>
              </w:rPr>
            </w:pPr>
          </w:p>
        </w:tc>
        <w:tc>
          <w:tcPr>
            <w:tcW w:w="489" w:type="pct"/>
            <w:vMerge w:val="continue"/>
            <w:tcBorders>
              <w:top w:val="nil"/>
            </w:tcBorders>
            <w:vAlign w:val="top"/>
          </w:tcPr>
          <w:p w14:paraId="5B730BD5">
            <w:pPr>
              <w:rPr>
                <w:rFonts w:ascii="Arial"/>
                <w:sz w:val="21"/>
              </w:rPr>
            </w:pPr>
          </w:p>
        </w:tc>
        <w:tc>
          <w:tcPr>
            <w:tcW w:w="209" w:type="pct"/>
            <w:vMerge w:val="continue"/>
            <w:tcBorders>
              <w:top w:val="nil"/>
            </w:tcBorders>
            <w:vAlign w:val="top"/>
          </w:tcPr>
          <w:p w14:paraId="39D442AE">
            <w:pPr>
              <w:rPr>
                <w:rFonts w:ascii="Arial"/>
                <w:sz w:val="21"/>
              </w:rPr>
            </w:pPr>
          </w:p>
        </w:tc>
      </w:tr>
      <w:tr w14:paraId="68C5F6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174" w:type="pct"/>
            <w:vAlign w:val="top"/>
          </w:tcPr>
          <w:p w14:paraId="352D1094">
            <w:pPr>
              <w:rPr>
                <w:rFonts w:ascii="Arial"/>
                <w:sz w:val="21"/>
              </w:rPr>
            </w:pPr>
          </w:p>
        </w:tc>
        <w:tc>
          <w:tcPr>
            <w:tcW w:w="403" w:type="pct"/>
            <w:vAlign w:val="top"/>
          </w:tcPr>
          <w:p w14:paraId="21C1B048">
            <w:pPr>
              <w:rPr>
                <w:rFonts w:ascii="Arial"/>
                <w:sz w:val="21"/>
              </w:rPr>
            </w:pPr>
          </w:p>
        </w:tc>
        <w:tc>
          <w:tcPr>
            <w:tcW w:w="829" w:type="pct"/>
            <w:vAlign w:val="top"/>
          </w:tcPr>
          <w:p w14:paraId="7578DE22">
            <w:pPr>
              <w:rPr>
                <w:rFonts w:ascii="Arial"/>
                <w:sz w:val="21"/>
              </w:rPr>
            </w:pPr>
          </w:p>
        </w:tc>
        <w:tc>
          <w:tcPr>
            <w:tcW w:w="625" w:type="pct"/>
            <w:vAlign w:val="top"/>
          </w:tcPr>
          <w:p w14:paraId="401A0D35">
            <w:pPr>
              <w:rPr>
                <w:rFonts w:ascii="Arial"/>
                <w:sz w:val="21"/>
              </w:rPr>
            </w:pPr>
          </w:p>
        </w:tc>
        <w:tc>
          <w:tcPr>
            <w:tcW w:w="319" w:type="pct"/>
            <w:vAlign w:val="top"/>
          </w:tcPr>
          <w:p w14:paraId="5CD3FE65">
            <w:pPr>
              <w:rPr>
                <w:rFonts w:ascii="Arial"/>
                <w:sz w:val="21"/>
              </w:rPr>
            </w:pPr>
          </w:p>
        </w:tc>
        <w:tc>
          <w:tcPr>
            <w:tcW w:w="281" w:type="pct"/>
            <w:vAlign w:val="top"/>
          </w:tcPr>
          <w:p w14:paraId="76F91475">
            <w:pPr>
              <w:rPr>
                <w:rFonts w:ascii="Arial"/>
                <w:sz w:val="21"/>
              </w:rPr>
            </w:pPr>
          </w:p>
        </w:tc>
        <w:tc>
          <w:tcPr>
            <w:tcW w:w="303" w:type="pct"/>
            <w:vAlign w:val="top"/>
          </w:tcPr>
          <w:p w14:paraId="1864D884">
            <w:pPr>
              <w:rPr>
                <w:rFonts w:ascii="Arial"/>
                <w:sz w:val="21"/>
              </w:rPr>
            </w:pPr>
          </w:p>
        </w:tc>
        <w:tc>
          <w:tcPr>
            <w:tcW w:w="220" w:type="pct"/>
            <w:vAlign w:val="top"/>
          </w:tcPr>
          <w:p w14:paraId="7485A144">
            <w:pPr>
              <w:rPr>
                <w:rFonts w:ascii="Arial"/>
                <w:sz w:val="21"/>
              </w:rPr>
            </w:pPr>
          </w:p>
        </w:tc>
        <w:tc>
          <w:tcPr>
            <w:tcW w:w="209" w:type="pct"/>
            <w:vAlign w:val="top"/>
          </w:tcPr>
          <w:p w14:paraId="049E5982">
            <w:pPr>
              <w:rPr>
                <w:rFonts w:ascii="Arial"/>
                <w:sz w:val="21"/>
              </w:rPr>
            </w:pPr>
          </w:p>
        </w:tc>
        <w:tc>
          <w:tcPr>
            <w:tcW w:w="111" w:type="pct"/>
            <w:vAlign w:val="top"/>
          </w:tcPr>
          <w:p w14:paraId="25E352F6">
            <w:pPr>
              <w:rPr>
                <w:rFonts w:ascii="Arial"/>
                <w:sz w:val="21"/>
              </w:rPr>
            </w:pPr>
          </w:p>
        </w:tc>
        <w:tc>
          <w:tcPr>
            <w:tcW w:w="111" w:type="pct"/>
            <w:vAlign w:val="top"/>
          </w:tcPr>
          <w:p w14:paraId="2909AA74">
            <w:pPr>
              <w:rPr>
                <w:rFonts w:ascii="Arial"/>
                <w:sz w:val="21"/>
              </w:rPr>
            </w:pPr>
          </w:p>
        </w:tc>
        <w:tc>
          <w:tcPr>
            <w:tcW w:w="119" w:type="pct"/>
            <w:vAlign w:val="top"/>
          </w:tcPr>
          <w:p w14:paraId="1A5D60FE">
            <w:pPr>
              <w:rPr>
                <w:rFonts w:ascii="Arial"/>
                <w:sz w:val="21"/>
              </w:rPr>
            </w:pPr>
          </w:p>
        </w:tc>
        <w:tc>
          <w:tcPr>
            <w:tcW w:w="111" w:type="pct"/>
            <w:vAlign w:val="top"/>
          </w:tcPr>
          <w:p w14:paraId="640E495A">
            <w:pPr>
              <w:rPr>
                <w:rFonts w:ascii="Arial"/>
                <w:sz w:val="21"/>
              </w:rPr>
            </w:pPr>
          </w:p>
        </w:tc>
        <w:tc>
          <w:tcPr>
            <w:tcW w:w="222" w:type="pct"/>
            <w:vAlign w:val="top"/>
          </w:tcPr>
          <w:p w14:paraId="1DCF9B8C">
            <w:pPr>
              <w:rPr>
                <w:rFonts w:ascii="Arial"/>
                <w:sz w:val="21"/>
              </w:rPr>
            </w:pPr>
          </w:p>
        </w:tc>
        <w:tc>
          <w:tcPr>
            <w:tcW w:w="255" w:type="pct"/>
            <w:vAlign w:val="top"/>
          </w:tcPr>
          <w:p w14:paraId="785224BA">
            <w:pPr>
              <w:rPr>
                <w:rFonts w:ascii="Arial"/>
                <w:sz w:val="21"/>
              </w:rPr>
            </w:pPr>
          </w:p>
        </w:tc>
        <w:tc>
          <w:tcPr>
            <w:tcW w:w="489" w:type="pct"/>
            <w:vAlign w:val="top"/>
          </w:tcPr>
          <w:p w14:paraId="72E877B9">
            <w:pPr>
              <w:rPr>
                <w:rFonts w:ascii="Arial"/>
                <w:sz w:val="21"/>
              </w:rPr>
            </w:pPr>
          </w:p>
        </w:tc>
        <w:tc>
          <w:tcPr>
            <w:tcW w:w="209" w:type="pct"/>
            <w:vAlign w:val="top"/>
          </w:tcPr>
          <w:p w14:paraId="4E7B175E">
            <w:pPr>
              <w:rPr>
                <w:rFonts w:ascii="Arial"/>
                <w:sz w:val="21"/>
              </w:rPr>
            </w:pPr>
          </w:p>
        </w:tc>
      </w:tr>
    </w:tbl>
    <w:p w14:paraId="763BB60E">
      <w:pPr>
        <w:spacing w:before="25" w:line="220" w:lineRule="auto"/>
        <w:ind w:left="779"/>
        <w:rPr>
          <w:rFonts w:ascii="宋体" w:hAnsi="宋体" w:eastAsia="宋体" w:cs="宋体"/>
          <w:spacing w:val="-9"/>
          <w:sz w:val="18"/>
          <w:szCs w:val="18"/>
        </w:rPr>
      </w:pPr>
      <w:r>
        <w:rPr>
          <w:rFonts w:ascii="宋体" w:hAnsi="宋体" w:eastAsia="宋体" w:cs="宋体"/>
          <w:spacing w:val="-9"/>
          <w:sz w:val="18"/>
          <w:szCs w:val="18"/>
        </w:rPr>
        <w:t>分析人：</w:t>
      </w:r>
      <w:r>
        <w:rPr>
          <w:rFonts w:ascii="宋体" w:hAnsi="宋体" w:eastAsia="宋体" w:cs="宋体"/>
          <w:spacing w:val="6"/>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审核人：</w:t>
      </w:r>
      <w:r>
        <w:rPr>
          <w:rFonts w:ascii="宋体" w:hAnsi="宋体" w:eastAsia="宋体" w:cs="宋体"/>
          <w:spacing w:val="4"/>
          <w:sz w:val="18"/>
          <w:szCs w:val="18"/>
        </w:rPr>
        <w:t xml:space="preserve">         </w:t>
      </w:r>
      <w:r>
        <w:rPr>
          <w:rFonts w:ascii="宋体" w:hAnsi="宋体" w:eastAsia="宋体" w:cs="宋体"/>
          <w:spacing w:val="-9"/>
          <w:sz w:val="18"/>
          <w:szCs w:val="18"/>
        </w:rPr>
        <w:t>日期：</w:t>
      </w:r>
      <w:r>
        <w:rPr>
          <w:rFonts w:ascii="宋体" w:hAnsi="宋体" w:eastAsia="宋体" w:cs="宋体"/>
          <w:spacing w:val="2"/>
          <w:sz w:val="18"/>
          <w:szCs w:val="18"/>
        </w:rPr>
        <w:t xml:space="preserve">           </w:t>
      </w:r>
      <w:r>
        <w:rPr>
          <w:rFonts w:ascii="宋体" w:hAnsi="宋体" w:eastAsia="宋体" w:cs="宋体"/>
          <w:spacing w:val="-9"/>
          <w:sz w:val="18"/>
          <w:szCs w:val="18"/>
        </w:rPr>
        <w:t>审定人：</w:t>
      </w:r>
      <w:r>
        <w:rPr>
          <w:rFonts w:ascii="宋体" w:hAnsi="宋体" w:eastAsia="宋体" w:cs="宋体"/>
          <w:spacing w:val="4"/>
          <w:sz w:val="18"/>
          <w:szCs w:val="18"/>
        </w:rPr>
        <w:t xml:space="preserve">        </w:t>
      </w:r>
      <w:r>
        <w:rPr>
          <w:rFonts w:ascii="宋体" w:hAnsi="宋体" w:eastAsia="宋体" w:cs="宋体"/>
          <w:spacing w:val="-9"/>
          <w:sz w:val="18"/>
          <w:szCs w:val="18"/>
        </w:rPr>
        <w:t>日期：</w:t>
      </w:r>
    </w:p>
    <w:p w14:paraId="793AF799">
      <w:pPr>
        <w:spacing w:before="25" w:line="220" w:lineRule="auto"/>
        <w:rPr>
          <w:rFonts w:hint="eastAsia" w:ascii="宋体" w:hAnsi="宋体" w:eastAsia="宋体" w:cs="宋体"/>
          <w:color w:val="000000"/>
          <w:kern w:val="0"/>
          <w:sz w:val="21"/>
          <w:szCs w:val="21"/>
          <w:lang w:val="en-US" w:eastAsia="zh-CN" w:bidi="ar"/>
        </w:rPr>
      </w:pPr>
      <w:r>
        <w:rPr>
          <w:rFonts w:ascii="宋体" w:hAnsi="宋体" w:eastAsia="宋体" w:cs="宋体"/>
          <w:spacing w:val="2"/>
          <w:sz w:val="18"/>
          <w:szCs w:val="18"/>
        </w:rPr>
        <w:t>填表说明：1、审核人为</w:t>
      </w:r>
      <w:r>
        <w:rPr>
          <w:rFonts w:hint="eastAsia" w:ascii="宋体" w:hAnsi="宋体" w:eastAsia="宋体" w:cs="宋体"/>
          <w:spacing w:val="2"/>
          <w:sz w:val="18"/>
          <w:szCs w:val="18"/>
          <w:lang w:val="en-US" w:eastAsia="zh-CN"/>
        </w:rPr>
        <w:t>监测机构安全员</w:t>
      </w:r>
      <w:r>
        <w:rPr>
          <w:rFonts w:ascii="宋体" w:hAnsi="宋体" w:eastAsia="宋体" w:cs="宋体"/>
          <w:spacing w:val="2"/>
          <w:sz w:val="18"/>
          <w:szCs w:val="18"/>
        </w:rPr>
        <w:t>，审</w:t>
      </w:r>
      <w:r>
        <w:rPr>
          <w:rFonts w:ascii="宋体" w:hAnsi="宋体" w:eastAsia="宋体" w:cs="宋体"/>
          <w:spacing w:val="1"/>
          <w:sz w:val="18"/>
          <w:szCs w:val="18"/>
        </w:rPr>
        <w:t>定人为</w:t>
      </w:r>
      <w:r>
        <w:rPr>
          <w:rFonts w:hint="eastAsia" w:ascii="宋体" w:hAnsi="宋体" w:eastAsia="宋体" w:cs="宋体"/>
          <w:spacing w:val="1"/>
          <w:sz w:val="18"/>
          <w:szCs w:val="18"/>
          <w:lang w:val="en-US" w:eastAsia="zh-CN"/>
        </w:rPr>
        <w:t>安全责任人</w:t>
      </w:r>
      <w:r>
        <w:rPr>
          <w:rFonts w:ascii="宋体" w:hAnsi="宋体" w:eastAsia="宋体" w:cs="宋体"/>
          <w:spacing w:val="1"/>
          <w:sz w:val="18"/>
          <w:szCs w:val="18"/>
        </w:rPr>
        <w:t>。2、评价级别是指运用风险评价方法，确定</w:t>
      </w:r>
      <w:r>
        <w:rPr>
          <w:rFonts w:ascii="宋体" w:hAnsi="宋体" w:eastAsia="宋体" w:cs="宋体"/>
          <w:sz w:val="18"/>
          <w:szCs w:val="18"/>
        </w:rPr>
        <w:t>的风险等级。3、管控级别是指按照风险等级规定的对应原则，划分的</w:t>
      </w:r>
      <w:r>
        <w:rPr>
          <w:rFonts w:ascii="宋体" w:hAnsi="宋体" w:eastAsia="宋体" w:cs="宋体"/>
          <w:spacing w:val="-1"/>
          <w:sz w:val="18"/>
          <w:szCs w:val="18"/>
        </w:rPr>
        <w:t>重大风险、较大风险、一般风险</w:t>
      </w:r>
      <w:r>
        <w:rPr>
          <w:rFonts w:ascii="宋体" w:hAnsi="宋体" w:eastAsia="宋体" w:cs="宋体"/>
          <w:sz w:val="18"/>
          <w:szCs w:val="18"/>
        </w:rPr>
        <w:t xml:space="preserve"> </w:t>
      </w:r>
      <w:r>
        <w:rPr>
          <w:rFonts w:ascii="宋体" w:hAnsi="宋体" w:eastAsia="宋体" w:cs="宋体"/>
          <w:spacing w:val="-1"/>
          <w:sz w:val="18"/>
          <w:szCs w:val="18"/>
        </w:rPr>
        <w:t>和低风险，分别用“红、橙、黄、蓝”标识。</w:t>
      </w:r>
    </w:p>
    <w:p w14:paraId="1322CD92">
      <w:pPr>
        <w:pStyle w:val="6"/>
        <w:spacing w:line="275" w:lineRule="auto"/>
      </w:pPr>
    </w:p>
    <w:p w14:paraId="26F02B2C">
      <w:pPr>
        <w:spacing w:before="68" w:line="222" w:lineRule="auto"/>
        <w:outlineLvl w:val="1"/>
        <w:rPr>
          <w:rFonts w:ascii="黑体" w:hAnsi="黑体" w:eastAsia="黑体" w:cs="黑体"/>
          <w:sz w:val="21"/>
          <w:szCs w:val="21"/>
        </w:rPr>
      </w:pPr>
      <w:r>
        <w:rPr>
          <w:rFonts w:hint="eastAsia" w:ascii="黑体" w:hAnsi="黑体" w:eastAsia="黑体" w:cs="黑体"/>
          <w:spacing w:val="-1"/>
          <w:sz w:val="21"/>
          <w:szCs w:val="21"/>
          <w:lang w:val="en-US" w:eastAsia="zh-CN"/>
        </w:rPr>
        <w:t>B</w:t>
      </w:r>
      <w:r>
        <w:rPr>
          <w:rFonts w:ascii="黑体" w:hAnsi="黑体" w:eastAsia="黑体" w:cs="黑体"/>
          <w:spacing w:val="-1"/>
          <w:sz w:val="21"/>
          <w:szCs w:val="21"/>
        </w:rPr>
        <w:t>.2  安全检查表编制依据</w:t>
      </w:r>
    </w:p>
    <w:p w14:paraId="0868AC8C">
      <w:pPr>
        <w:spacing w:before="69" w:line="220" w:lineRule="auto"/>
        <w:ind w:left="422"/>
        <w:rPr>
          <w:rFonts w:ascii="宋体" w:hAnsi="宋体" w:eastAsia="宋体" w:cs="宋体"/>
          <w:sz w:val="21"/>
          <w:szCs w:val="21"/>
        </w:rPr>
      </w:pPr>
      <w:r>
        <w:rPr>
          <w:rFonts w:ascii="宋体" w:hAnsi="宋体" w:eastAsia="宋体" w:cs="宋体"/>
          <w:spacing w:val="-5"/>
          <w:sz w:val="21"/>
          <w:szCs w:val="21"/>
        </w:rPr>
        <w:t>编制依据包括：</w:t>
      </w:r>
    </w:p>
    <w:p w14:paraId="7CDE2933">
      <w:pPr>
        <w:spacing w:before="63" w:line="221" w:lineRule="auto"/>
        <w:ind w:left="424"/>
        <w:rPr>
          <w:rFonts w:ascii="宋体" w:hAnsi="宋体" w:eastAsia="宋体" w:cs="宋体"/>
          <w:sz w:val="21"/>
          <w:szCs w:val="21"/>
        </w:rPr>
      </w:pPr>
      <w:r>
        <w:rPr>
          <w:rFonts w:ascii="宋体" w:hAnsi="宋体" w:eastAsia="宋体" w:cs="宋体"/>
          <w:spacing w:val="-3"/>
          <w:sz w:val="21"/>
          <w:szCs w:val="21"/>
        </w:rPr>
        <w:t>——有关法规、标准、规范及规定；</w:t>
      </w:r>
    </w:p>
    <w:p w14:paraId="24082A65">
      <w:pPr>
        <w:spacing w:before="61" w:line="265" w:lineRule="auto"/>
        <w:ind w:left="424" w:right="5053"/>
        <w:rPr>
          <w:rFonts w:ascii="宋体" w:hAnsi="宋体" w:eastAsia="宋体" w:cs="宋体"/>
          <w:sz w:val="21"/>
          <w:szCs w:val="21"/>
        </w:rPr>
      </w:pPr>
      <w:r>
        <w:rPr>
          <w:rFonts w:ascii="宋体" w:hAnsi="宋体" w:eastAsia="宋体" w:cs="宋体"/>
          <w:spacing w:val="-3"/>
          <w:sz w:val="21"/>
          <w:szCs w:val="21"/>
        </w:rPr>
        <w:t>——国内外事故案例和企业以往事故情；</w:t>
      </w:r>
      <w:r>
        <w:rPr>
          <w:rFonts w:ascii="宋体" w:hAnsi="宋体" w:eastAsia="宋体" w:cs="宋体"/>
          <w:spacing w:val="3"/>
          <w:sz w:val="21"/>
          <w:szCs w:val="21"/>
        </w:rPr>
        <w:t xml:space="preserve"> </w:t>
      </w:r>
      <w:r>
        <w:rPr>
          <w:rFonts w:ascii="宋体" w:hAnsi="宋体" w:eastAsia="宋体" w:cs="宋体"/>
          <w:spacing w:val="-3"/>
          <w:sz w:val="21"/>
          <w:szCs w:val="21"/>
        </w:rPr>
        <w:t>——系统分析确定的危险部位及防范措；</w:t>
      </w:r>
      <w:r>
        <w:rPr>
          <w:rFonts w:ascii="宋体" w:hAnsi="宋体" w:eastAsia="宋体" w:cs="宋体"/>
          <w:spacing w:val="3"/>
          <w:sz w:val="21"/>
          <w:szCs w:val="21"/>
        </w:rPr>
        <w:t xml:space="preserve"> </w:t>
      </w:r>
      <w:r>
        <w:rPr>
          <w:rFonts w:ascii="宋体" w:hAnsi="宋体" w:eastAsia="宋体" w:cs="宋体"/>
          <w:spacing w:val="-2"/>
          <w:sz w:val="21"/>
          <w:szCs w:val="21"/>
        </w:rPr>
        <w:t>——分析人员的经验和可靠的参考资料；</w:t>
      </w:r>
    </w:p>
    <w:p w14:paraId="4061E9F2">
      <w:pPr>
        <w:spacing w:before="30" w:line="220" w:lineRule="auto"/>
        <w:ind w:left="424"/>
        <w:rPr>
          <w:rFonts w:ascii="宋体" w:hAnsi="宋体" w:eastAsia="宋体" w:cs="宋体"/>
          <w:sz w:val="21"/>
          <w:szCs w:val="21"/>
        </w:rPr>
      </w:pPr>
      <w:r>
        <w:rPr>
          <w:rFonts w:ascii="宋体" w:hAnsi="宋体" w:eastAsia="宋体" w:cs="宋体"/>
          <w:spacing w:val="-1"/>
          <w:sz w:val="21"/>
          <w:szCs w:val="21"/>
        </w:rPr>
        <w:t>——有关研究成果，同行业或类似行业检查表等。</w:t>
      </w:r>
    </w:p>
    <w:p w14:paraId="4C5B45ED">
      <w:pPr>
        <w:pStyle w:val="6"/>
        <w:spacing w:line="306" w:lineRule="auto"/>
      </w:pPr>
    </w:p>
    <w:p w14:paraId="005181C3">
      <w:pPr>
        <w:spacing w:before="68" w:line="222" w:lineRule="auto"/>
        <w:outlineLvl w:val="1"/>
        <w:rPr>
          <w:rFonts w:ascii="黑体" w:hAnsi="黑体" w:eastAsia="黑体" w:cs="黑体"/>
          <w:sz w:val="21"/>
          <w:szCs w:val="21"/>
        </w:rPr>
      </w:pPr>
      <w:r>
        <w:rPr>
          <w:rFonts w:hint="eastAsia" w:ascii="黑体" w:hAnsi="黑体" w:eastAsia="黑体" w:cs="黑体"/>
          <w:spacing w:val="-1"/>
          <w:sz w:val="21"/>
          <w:szCs w:val="21"/>
          <w:lang w:val="en-US" w:eastAsia="zh-CN"/>
        </w:rPr>
        <w:t>B</w:t>
      </w:r>
      <w:r>
        <w:rPr>
          <w:rFonts w:ascii="黑体" w:hAnsi="黑体" w:eastAsia="黑体" w:cs="黑体"/>
          <w:spacing w:val="-1"/>
          <w:sz w:val="21"/>
          <w:szCs w:val="21"/>
        </w:rPr>
        <w:t>.3  编制安全检查表</w:t>
      </w:r>
    </w:p>
    <w:p w14:paraId="0D476292">
      <w:pPr>
        <w:spacing w:before="69" w:line="221" w:lineRule="auto"/>
        <w:ind w:left="423"/>
        <w:rPr>
          <w:rFonts w:ascii="宋体" w:hAnsi="宋体" w:eastAsia="宋体" w:cs="宋体"/>
          <w:sz w:val="21"/>
          <w:szCs w:val="21"/>
        </w:rPr>
      </w:pPr>
      <w:r>
        <w:rPr>
          <w:rFonts w:ascii="宋体" w:hAnsi="宋体" w:eastAsia="宋体" w:cs="宋体"/>
          <w:spacing w:val="-5"/>
          <w:sz w:val="21"/>
          <w:szCs w:val="21"/>
        </w:rPr>
        <w:t>编制工作包括：</w:t>
      </w:r>
    </w:p>
    <w:p w14:paraId="0B3FB6C3">
      <w:pPr>
        <w:spacing w:before="61" w:line="221" w:lineRule="auto"/>
        <w:ind w:left="424"/>
        <w:rPr>
          <w:rFonts w:ascii="宋体" w:hAnsi="宋体" w:eastAsia="宋体" w:cs="宋体"/>
          <w:sz w:val="21"/>
          <w:szCs w:val="21"/>
        </w:rPr>
      </w:pPr>
      <w:r>
        <w:rPr>
          <w:rFonts w:ascii="宋体" w:hAnsi="宋体" w:eastAsia="宋体" w:cs="宋体"/>
          <w:spacing w:val="-1"/>
          <w:sz w:val="21"/>
          <w:szCs w:val="21"/>
        </w:rPr>
        <w:t>——确定编制人员。包括熟悉</w:t>
      </w:r>
      <w:r>
        <w:rPr>
          <w:rFonts w:hint="eastAsia" w:ascii="宋体" w:hAnsi="宋体" w:eastAsia="宋体" w:cs="宋体"/>
          <w:spacing w:val="-1"/>
          <w:sz w:val="21"/>
          <w:szCs w:val="21"/>
          <w:lang w:val="en-US" w:eastAsia="zh-CN"/>
        </w:rPr>
        <w:t>监测活动</w:t>
      </w:r>
      <w:r>
        <w:rPr>
          <w:rFonts w:ascii="宋体" w:hAnsi="宋体" w:eastAsia="宋体" w:cs="宋体"/>
          <w:spacing w:val="-1"/>
          <w:sz w:val="21"/>
          <w:szCs w:val="21"/>
        </w:rPr>
        <w:t>的安全员、技术员、设备员等各方面人员；</w:t>
      </w:r>
    </w:p>
    <w:p w14:paraId="2308BB40">
      <w:pPr>
        <w:spacing w:before="62" w:line="260" w:lineRule="auto"/>
        <w:ind w:left="848" w:right="11" w:hanging="424"/>
        <w:rPr>
          <w:rFonts w:ascii="宋体" w:hAnsi="宋体" w:eastAsia="宋体" w:cs="宋体"/>
          <w:sz w:val="21"/>
          <w:szCs w:val="21"/>
        </w:rPr>
      </w:pPr>
      <w:r>
        <w:rPr>
          <w:rFonts w:ascii="宋体" w:hAnsi="宋体" w:eastAsia="宋体" w:cs="宋体"/>
          <w:spacing w:val="-1"/>
          <w:sz w:val="21"/>
          <w:szCs w:val="21"/>
        </w:rPr>
        <w:t>——收集资料。收集有关安全法律、法规、规程、标准、制度及本系统过去发</w:t>
      </w:r>
      <w:r>
        <w:rPr>
          <w:rFonts w:ascii="宋体" w:hAnsi="宋体" w:eastAsia="宋体" w:cs="宋体"/>
          <w:spacing w:val="-2"/>
          <w:sz w:val="21"/>
          <w:szCs w:val="21"/>
        </w:rPr>
        <w:t>生的事故事件资料，</w:t>
      </w:r>
      <w:r>
        <w:rPr>
          <w:rFonts w:ascii="宋体" w:hAnsi="宋体" w:eastAsia="宋体" w:cs="宋体"/>
          <w:sz w:val="21"/>
          <w:szCs w:val="21"/>
        </w:rPr>
        <w:t xml:space="preserve"> </w:t>
      </w:r>
      <w:r>
        <w:rPr>
          <w:rFonts w:ascii="宋体" w:hAnsi="宋体" w:eastAsia="宋体" w:cs="宋体"/>
          <w:spacing w:val="-3"/>
          <w:sz w:val="21"/>
          <w:szCs w:val="21"/>
        </w:rPr>
        <w:t>作为编制安全检查表的依据；</w:t>
      </w:r>
    </w:p>
    <w:p w14:paraId="14FE9B57">
      <w:pPr>
        <w:spacing w:before="33" w:line="260" w:lineRule="auto"/>
        <w:ind w:left="864" w:right="62" w:hanging="440"/>
        <w:rPr>
          <w:rFonts w:ascii="宋体" w:hAnsi="宋体" w:eastAsia="宋体" w:cs="宋体"/>
          <w:sz w:val="21"/>
          <w:szCs w:val="21"/>
        </w:rPr>
      </w:pPr>
      <w:r>
        <w:rPr>
          <w:rFonts w:ascii="宋体" w:hAnsi="宋体" w:eastAsia="宋体" w:cs="宋体"/>
          <w:spacing w:val="-2"/>
          <w:sz w:val="21"/>
          <w:szCs w:val="21"/>
        </w:rPr>
        <w:t>——编制表格。确定检查项目、检查标准、不符合标准的</w:t>
      </w:r>
      <w:r>
        <w:rPr>
          <w:rFonts w:ascii="宋体" w:hAnsi="宋体" w:eastAsia="宋体" w:cs="宋体"/>
          <w:spacing w:val="-3"/>
          <w:sz w:val="21"/>
          <w:szCs w:val="21"/>
        </w:rPr>
        <w:t>情况及后果、安全控制措施等要素。</w:t>
      </w:r>
    </w:p>
    <w:p w14:paraId="0B106FD9">
      <w:pPr>
        <w:pStyle w:val="6"/>
        <w:spacing w:line="275" w:lineRule="auto"/>
      </w:pPr>
    </w:p>
    <w:p w14:paraId="55FB692B">
      <w:pPr>
        <w:spacing w:before="69" w:line="223" w:lineRule="auto"/>
        <w:outlineLvl w:val="1"/>
        <w:rPr>
          <w:rFonts w:ascii="黑体" w:hAnsi="黑体" w:eastAsia="黑体" w:cs="黑体"/>
          <w:sz w:val="21"/>
          <w:szCs w:val="21"/>
        </w:rPr>
      </w:pPr>
      <w:r>
        <w:rPr>
          <w:rFonts w:hint="eastAsia" w:ascii="黑体" w:hAnsi="黑体" w:eastAsia="黑体" w:cs="黑体"/>
          <w:spacing w:val="-1"/>
          <w:sz w:val="21"/>
          <w:szCs w:val="21"/>
          <w:lang w:val="en-US" w:eastAsia="zh-CN"/>
        </w:rPr>
        <w:t>B</w:t>
      </w:r>
      <w:r>
        <w:rPr>
          <w:rFonts w:ascii="黑体" w:hAnsi="黑体" w:eastAsia="黑体" w:cs="黑体"/>
          <w:spacing w:val="-1"/>
          <w:sz w:val="21"/>
          <w:szCs w:val="21"/>
        </w:rPr>
        <w:t>.4  安全检查表分析评价</w:t>
      </w:r>
    </w:p>
    <w:p w14:paraId="102B5615">
      <w:pPr>
        <w:spacing w:before="68" w:line="219" w:lineRule="auto"/>
        <w:ind w:left="424"/>
        <w:rPr>
          <w:rFonts w:ascii="宋体" w:hAnsi="宋体" w:eastAsia="宋体" w:cs="宋体"/>
          <w:sz w:val="21"/>
          <w:szCs w:val="21"/>
        </w:rPr>
      </w:pPr>
      <w:r>
        <w:rPr>
          <w:rFonts w:ascii="宋体" w:hAnsi="宋体" w:eastAsia="宋体" w:cs="宋体"/>
          <w:spacing w:val="-4"/>
          <w:sz w:val="21"/>
          <w:szCs w:val="21"/>
        </w:rPr>
        <w:t>分析评价步骤如下：</w:t>
      </w:r>
    </w:p>
    <w:p w14:paraId="61E3DBCB">
      <w:pPr>
        <w:spacing w:before="63" w:line="220" w:lineRule="auto"/>
        <w:ind w:left="424"/>
        <w:rPr>
          <w:rFonts w:ascii="宋体" w:hAnsi="宋体" w:eastAsia="宋体" w:cs="宋体"/>
          <w:sz w:val="21"/>
          <w:szCs w:val="21"/>
        </w:rPr>
      </w:pPr>
      <w:r>
        <w:rPr>
          <w:rFonts w:ascii="宋体" w:hAnsi="宋体" w:eastAsia="宋体" w:cs="宋体"/>
          <w:spacing w:val="-1"/>
          <w:sz w:val="21"/>
          <w:szCs w:val="21"/>
        </w:rPr>
        <w:t>——</w:t>
      </w:r>
      <w:r>
        <w:rPr>
          <w:rFonts w:hint="eastAsia" w:ascii="宋体" w:hAnsi="宋体" w:eastAsia="宋体" w:cs="宋体"/>
          <w:spacing w:val="-1"/>
          <w:sz w:val="21"/>
          <w:szCs w:val="21"/>
          <w:lang w:val="en-US" w:eastAsia="zh-CN"/>
        </w:rPr>
        <w:t>列出生态环境监测机构</w:t>
      </w:r>
      <w:r>
        <w:rPr>
          <w:rFonts w:ascii="宋体" w:hAnsi="宋体" w:eastAsia="宋体" w:cs="宋体"/>
          <w:spacing w:val="-1"/>
          <w:sz w:val="21"/>
          <w:szCs w:val="21"/>
        </w:rPr>
        <w:t>设备设施清单</w:t>
      </w:r>
      <w:r>
        <w:rPr>
          <w:rFonts w:ascii="宋体" w:hAnsi="宋体" w:eastAsia="宋体" w:cs="宋体"/>
          <w:spacing w:val="-7"/>
          <w:sz w:val="21"/>
          <w:szCs w:val="21"/>
        </w:rPr>
        <w:t>；</w:t>
      </w:r>
    </w:p>
    <w:p w14:paraId="0257B394">
      <w:pPr>
        <w:spacing w:before="62" w:line="261" w:lineRule="auto"/>
        <w:ind w:left="853" w:right="62" w:hanging="428"/>
        <w:rPr>
          <w:rFonts w:ascii="宋体" w:hAnsi="宋体" w:eastAsia="宋体" w:cs="宋体"/>
          <w:sz w:val="21"/>
          <w:szCs w:val="21"/>
        </w:rPr>
      </w:pPr>
      <w:r>
        <w:rPr>
          <w:rFonts w:ascii="宋体" w:hAnsi="宋体" w:eastAsia="宋体" w:cs="宋体"/>
          <w:spacing w:val="-4"/>
          <w:sz w:val="21"/>
          <w:szCs w:val="21"/>
        </w:rPr>
        <w:t>——依据清单，</w:t>
      </w:r>
      <w:r>
        <w:rPr>
          <w:rFonts w:ascii="宋体" w:hAnsi="宋体" w:eastAsia="宋体" w:cs="宋体"/>
          <w:spacing w:val="-31"/>
          <w:sz w:val="21"/>
          <w:szCs w:val="21"/>
        </w:rPr>
        <w:t xml:space="preserve"> </w:t>
      </w:r>
      <w:r>
        <w:rPr>
          <w:rFonts w:ascii="宋体" w:hAnsi="宋体" w:eastAsia="宋体" w:cs="宋体"/>
          <w:spacing w:val="-4"/>
          <w:sz w:val="21"/>
          <w:szCs w:val="21"/>
        </w:rPr>
        <w:t>按功能或结构划分为若干危险源，对照安全检查表逐个</w:t>
      </w:r>
      <w:r>
        <w:rPr>
          <w:rFonts w:ascii="宋体" w:hAnsi="宋体" w:eastAsia="宋体" w:cs="宋体"/>
          <w:spacing w:val="-5"/>
          <w:sz w:val="21"/>
          <w:szCs w:val="21"/>
        </w:rPr>
        <w:t>分析潜在的危</w:t>
      </w:r>
      <w:r>
        <w:rPr>
          <w:rFonts w:ascii="宋体" w:hAnsi="宋体" w:eastAsia="宋体" w:cs="宋体"/>
          <w:spacing w:val="-16"/>
          <w:sz w:val="21"/>
          <w:szCs w:val="21"/>
        </w:rPr>
        <w:t>害；</w:t>
      </w:r>
    </w:p>
    <w:p w14:paraId="70B62EC2">
      <w:pPr>
        <w:spacing w:before="30" w:line="261" w:lineRule="auto"/>
        <w:ind w:left="850" w:right="72" w:hanging="425"/>
        <w:rPr>
          <w:rFonts w:ascii="宋体" w:hAnsi="宋体" w:eastAsia="宋体" w:cs="宋体"/>
          <w:sz w:val="21"/>
          <w:szCs w:val="21"/>
        </w:rPr>
      </w:pPr>
      <w:r>
        <w:rPr>
          <w:rFonts w:ascii="宋体" w:hAnsi="宋体" w:eastAsia="宋体" w:cs="宋体"/>
          <w:spacing w:val="-1"/>
          <w:sz w:val="21"/>
          <w:szCs w:val="21"/>
        </w:rPr>
        <w:t>——对每个危险源，按照《安全检查表分析（SCL）评价记</w:t>
      </w:r>
      <w:r>
        <w:rPr>
          <w:rFonts w:ascii="宋体" w:hAnsi="宋体" w:eastAsia="宋体" w:cs="宋体"/>
          <w:spacing w:val="-2"/>
          <w:sz w:val="21"/>
          <w:szCs w:val="21"/>
        </w:rPr>
        <w:t>录》进行全过程的系统分</w:t>
      </w:r>
      <w:r>
        <w:rPr>
          <w:rFonts w:ascii="宋体" w:hAnsi="宋体" w:eastAsia="宋体" w:cs="宋体"/>
          <w:spacing w:val="-5"/>
          <w:sz w:val="21"/>
          <w:szCs w:val="21"/>
        </w:rPr>
        <w:t>析和记录。</w:t>
      </w:r>
    </w:p>
    <w:p w14:paraId="33341DD8">
      <w:pPr>
        <w:pStyle w:val="6"/>
        <w:spacing w:line="274" w:lineRule="auto"/>
      </w:pPr>
    </w:p>
    <w:p w14:paraId="1A475599">
      <w:pPr>
        <w:spacing w:line="221" w:lineRule="auto"/>
        <w:rPr>
          <w:rFonts w:ascii="宋体" w:hAnsi="宋体" w:eastAsia="宋体" w:cs="宋体"/>
          <w:sz w:val="21"/>
          <w:szCs w:val="21"/>
        </w:rPr>
        <w:sectPr>
          <w:pgSz w:w="11907" w:h="16839"/>
          <w:pgMar w:top="1662" w:right="1132" w:bottom="1313" w:left="1785" w:header="1431" w:footer="1135" w:gutter="0"/>
          <w:pgNumType w:fmt="decimal"/>
          <w:cols w:space="720" w:num="1"/>
        </w:sectPr>
      </w:pPr>
    </w:p>
    <w:p w14:paraId="096F14E2">
      <w:pPr>
        <w:pStyle w:val="55"/>
        <w:numPr>
          <w:ilvl w:val="0"/>
          <w:numId w:val="0"/>
        </w:numPr>
        <w:tabs>
          <w:tab w:val="left" w:pos="360"/>
        </w:tabs>
        <w:spacing w:before="0"/>
      </w:pPr>
      <w:bookmarkStart w:id="216" w:name="_Toc22669"/>
      <w:bookmarkStart w:id="217" w:name="_Toc26653"/>
      <w:bookmarkStart w:id="218" w:name="_Toc11"/>
      <w:bookmarkStart w:id="219" w:name="_Toc14161"/>
      <w:bookmarkStart w:id="220" w:name="_Toc17408"/>
      <w:bookmarkStart w:id="221" w:name="_Toc25278"/>
      <w:bookmarkStart w:id="222" w:name="_Toc5815"/>
      <w:bookmarkStart w:id="223" w:name="_Toc858"/>
      <w:bookmarkStart w:id="224" w:name="_Toc13485"/>
      <w:bookmarkStart w:id="225" w:name="_Toc30082"/>
      <w:bookmarkStart w:id="226" w:name="_Toc30461"/>
      <w:r>
        <w:rPr>
          <w:rFonts w:hint="eastAsia"/>
        </w:rPr>
        <w:t xml:space="preserve">附  录  </w:t>
      </w:r>
      <w:r>
        <w:rPr>
          <w:rFonts w:hint="eastAsia"/>
          <w:lang w:val="en-US" w:eastAsia="zh-CN"/>
        </w:rPr>
        <w:t>C</w:t>
      </w:r>
      <w:r>
        <w:br w:type="textWrapping"/>
      </w:r>
      <w:r>
        <w:rPr>
          <w:rFonts w:hint="eastAsia"/>
        </w:rPr>
        <w:t>（资料性）</w:t>
      </w:r>
      <w:r>
        <w:br w:type="textWrapping"/>
      </w:r>
      <w:r>
        <w:rPr>
          <w:rFonts w:hint="eastAsia"/>
        </w:rPr>
        <w:t>作业条件危险性分析法（LEC）</w:t>
      </w:r>
      <w:bookmarkEnd w:id="216"/>
      <w:bookmarkEnd w:id="217"/>
      <w:bookmarkEnd w:id="218"/>
      <w:bookmarkEnd w:id="219"/>
      <w:bookmarkEnd w:id="220"/>
      <w:bookmarkEnd w:id="221"/>
      <w:bookmarkEnd w:id="222"/>
      <w:bookmarkEnd w:id="223"/>
      <w:bookmarkEnd w:id="224"/>
      <w:bookmarkEnd w:id="225"/>
      <w:bookmarkEnd w:id="226"/>
    </w:p>
    <w:p w14:paraId="7BB55B96">
      <w:pPr>
        <w:pStyle w:val="41"/>
        <w:ind w:firstLine="420"/>
      </w:pPr>
      <w:r>
        <w:rPr>
          <w:rFonts w:hint="eastAsia"/>
        </w:rPr>
        <w:t>作业条件危险性分析评价法（简称LEC）。</w:t>
      </w:r>
      <w:r>
        <w:t>L(likelihood</w:t>
      </w:r>
      <w:r>
        <w:rPr>
          <w:rFonts w:hint="eastAsia"/>
        </w:rPr>
        <w:t>，事故发生的可能性</w:t>
      </w:r>
      <w:r>
        <w:t>)</w:t>
      </w:r>
      <w:r>
        <w:rPr>
          <w:rFonts w:hint="eastAsia"/>
        </w:rPr>
        <w:t>、</w:t>
      </w:r>
      <w:r>
        <w:t>E(exposure</w:t>
      </w:r>
      <w:r>
        <w:rPr>
          <w:rFonts w:hint="eastAsia"/>
        </w:rPr>
        <w:t>，人员暴露于危险环境中的频繁程度</w:t>
      </w:r>
      <w:r>
        <w:t>)</w:t>
      </w:r>
      <w:r>
        <w:rPr>
          <w:rFonts w:hint="eastAsia"/>
        </w:rPr>
        <w:t>和</w:t>
      </w:r>
      <w:r>
        <w:t>C(consequence</w:t>
      </w:r>
      <w:r>
        <w:rPr>
          <w:rFonts w:hint="eastAsia"/>
        </w:rPr>
        <w:t>，一旦发生事故可能造成的后果</w:t>
      </w:r>
      <w:r>
        <w:t>)</w:t>
      </w:r>
      <w:r>
        <w:rPr>
          <w:rFonts w:hint="eastAsia"/>
        </w:rPr>
        <w:t>。给三种因素的不同等级分别确定不同的分值，再以三个分值的乘积</w:t>
      </w:r>
      <w:r>
        <w:t>D(danger</w:t>
      </w:r>
      <w:r>
        <w:rPr>
          <w:rFonts w:hint="eastAsia"/>
        </w:rPr>
        <w:t>，危险性</w:t>
      </w:r>
      <w:r>
        <w:t>)</w:t>
      </w:r>
      <w:r>
        <w:rPr>
          <w:rFonts w:hint="eastAsia"/>
        </w:rPr>
        <w:t>来评价作业条件危险性的大小，即</w:t>
      </w:r>
      <w:r>
        <w:t>:D=L</w:t>
      </w:r>
      <w:r>
        <w:rPr>
          <w:rFonts w:hint="eastAsia"/>
        </w:rPr>
        <w:t>×</w:t>
      </w:r>
      <w:r>
        <w:t>E</w:t>
      </w:r>
      <w:r>
        <w:rPr>
          <w:rFonts w:hint="eastAsia"/>
        </w:rPr>
        <w:t>×</w:t>
      </w:r>
      <w:r>
        <w:t>C</w:t>
      </w:r>
      <w:r>
        <w:rPr>
          <w:rFonts w:hint="eastAsia"/>
        </w:rPr>
        <w:t>。D值越大，说明该作业活动危险性大、风险大。</w:t>
      </w:r>
      <w:r>
        <w:rPr>
          <w:rFonts w:hint="eastAsia"/>
          <w:lang w:val="en-US" w:eastAsia="zh-CN"/>
        </w:rPr>
        <w:t>表C.1至表C.4分别给出了</w:t>
      </w:r>
      <w:r>
        <w:rPr>
          <w:rFonts w:hint="eastAsia"/>
        </w:rPr>
        <w:t>事故事件发生的可能性（</w:t>
      </w:r>
      <w:r>
        <w:t>L</w:t>
      </w:r>
      <w:r>
        <w:rPr>
          <w:rFonts w:hint="eastAsia"/>
        </w:rPr>
        <w:t>）判定准则</w:t>
      </w:r>
      <w:r>
        <w:rPr>
          <w:rFonts w:hint="eastAsia"/>
          <w:lang w:eastAsia="zh-CN"/>
        </w:rPr>
        <w:t>、</w:t>
      </w:r>
      <w:r>
        <w:rPr>
          <w:rFonts w:hint="eastAsia"/>
        </w:rPr>
        <w:t>暴露于危险环境的频繁程度（</w:t>
      </w:r>
      <w:r>
        <w:t>E</w:t>
      </w:r>
      <w:r>
        <w:rPr>
          <w:rFonts w:hint="eastAsia"/>
        </w:rPr>
        <w:t>）判定准则</w:t>
      </w:r>
      <w:r>
        <w:rPr>
          <w:rFonts w:hint="eastAsia"/>
          <w:lang w:eastAsia="zh-CN"/>
        </w:rPr>
        <w:t>、</w:t>
      </w:r>
      <w:r>
        <w:rPr>
          <w:rFonts w:hint="eastAsia"/>
        </w:rPr>
        <w:t>发生事故事件偏差产生的后果严重性（</w:t>
      </w:r>
      <w:r>
        <w:t>C</w:t>
      </w:r>
      <w:r>
        <w:rPr>
          <w:rFonts w:hint="eastAsia"/>
        </w:rPr>
        <w:t>）判定准则</w:t>
      </w:r>
      <w:r>
        <w:rPr>
          <w:rFonts w:hint="eastAsia"/>
          <w:lang w:val="en-US" w:eastAsia="zh-CN"/>
        </w:rPr>
        <w:t>和</w:t>
      </w:r>
      <w:r>
        <w:rPr>
          <w:rFonts w:hint="eastAsia"/>
        </w:rPr>
        <w:t>风险等级判定准则（</w:t>
      </w:r>
      <w:r>
        <w:t>D</w:t>
      </w:r>
      <w:r>
        <w:rPr>
          <w:rFonts w:hint="eastAsia"/>
        </w:rPr>
        <w:t>）及控制措施</w:t>
      </w:r>
      <w:r>
        <w:rPr>
          <w:rFonts w:hint="eastAsia"/>
          <w:lang w:val="en-US" w:eastAsia="zh-CN"/>
        </w:rPr>
        <w:t>。</w:t>
      </w:r>
    </w:p>
    <w:p w14:paraId="5F6E14CF">
      <w:pPr>
        <w:pStyle w:val="79"/>
        <w:numPr>
          <w:ilvl w:val="0"/>
          <w:numId w:val="0"/>
        </w:numPr>
        <w:tabs>
          <w:tab w:val="left" w:pos="180"/>
        </w:tabs>
        <w:spacing w:before="156" w:after="156"/>
      </w:pPr>
      <w:r>
        <w:rPr>
          <w:rFonts w:hint="eastAsia"/>
        </w:rPr>
        <w:t>表</w:t>
      </w:r>
      <w:r>
        <w:rPr>
          <w:rFonts w:hint="eastAsia"/>
          <w:lang w:val="en-US" w:eastAsia="zh-CN"/>
        </w:rPr>
        <w:t>C</w:t>
      </w:r>
      <w:r>
        <w:rPr>
          <w:rFonts w:hint="eastAsia"/>
        </w:rPr>
        <w:t>.1  事故事件发生的可能性（</w:t>
      </w:r>
      <w:r>
        <w:t>L</w:t>
      </w:r>
      <w:r>
        <w:rPr>
          <w:rFonts w:hint="eastAsia"/>
        </w:rPr>
        <w:t>）判定准则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8431"/>
      </w:tblGrid>
      <w:tr w14:paraId="365B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09" w:type="dxa"/>
            <w:noWrap w:val="0"/>
            <w:vAlign w:val="center"/>
          </w:tcPr>
          <w:p w14:paraId="5DD030B5">
            <w:pPr>
              <w:jc w:val="center"/>
              <w:rPr>
                <w:rFonts w:ascii="宋体" w:hAnsi="宋体"/>
                <w:bCs/>
                <w:sz w:val="18"/>
                <w:szCs w:val="18"/>
              </w:rPr>
            </w:pPr>
            <w:r>
              <w:rPr>
                <w:rFonts w:hint="eastAsia" w:ascii="宋体" w:hAnsi="宋体" w:cs="仿宋_GB2312"/>
                <w:bCs/>
                <w:sz w:val="18"/>
                <w:szCs w:val="18"/>
              </w:rPr>
              <w:t>分值</w:t>
            </w:r>
          </w:p>
        </w:tc>
        <w:tc>
          <w:tcPr>
            <w:tcW w:w="8431" w:type="dxa"/>
            <w:noWrap w:val="0"/>
            <w:vAlign w:val="center"/>
          </w:tcPr>
          <w:p w14:paraId="585B5B91">
            <w:pPr>
              <w:jc w:val="center"/>
              <w:rPr>
                <w:rFonts w:ascii="宋体" w:hAnsi="宋体"/>
                <w:bCs/>
                <w:sz w:val="18"/>
                <w:szCs w:val="18"/>
              </w:rPr>
            </w:pPr>
            <w:r>
              <w:rPr>
                <w:rFonts w:hint="eastAsia" w:ascii="宋体" w:hAnsi="宋体" w:cs="仿宋_GB2312"/>
                <w:bCs/>
                <w:sz w:val="18"/>
                <w:szCs w:val="18"/>
              </w:rPr>
              <w:t>事故、事件或偏差发生的可能性</w:t>
            </w:r>
          </w:p>
        </w:tc>
      </w:tr>
      <w:tr w14:paraId="7CEE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09" w:type="dxa"/>
            <w:noWrap w:val="0"/>
            <w:vAlign w:val="center"/>
          </w:tcPr>
          <w:p w14:paraId="02F1FA2C">
            <w:pPr>
              <w:jc w:val="center"/>
              <w:rPr>
                <w:rFonts w:ascii="宋体" w:hAnsi="宋体"/>
                <w:sz w:val="18"/>
                <w:szCs w:val="18"/>
              </w:rPr>
            </w:pPr>
            <w:r>
              <w:rPr>
                <w:rFonts w:ascii="宋体" w:hAnsi="宋体" w:cs="仿宋_GB2312"/>
                <w:sz w:val="18"/>
                <w:szCs w:val="18"/>
              </w:rPr>
              <w:t>10</w:t>
            </w:r>
          </w:p>
        </w:tc>
        <w:tc>
          <w:tcPr>
            <w:tcW w:w="8431" w:type="dxa"/>
            <w:noWrap w:val="0"/>
            <w:vAlign w:val="center"/>
          </w:tcPr>
          <w:p w14:paraId="0335EB3E">
            <w:pPr>
              <w:rPr>
                <w:rFonts w:ascii="宋体" w:hAnsi="宋体"/>
                <w:sz w:val="18"/>
                <w:szCs w:val="18"/>
              </w:rPr>
            </w:pPr>
            <w:r>
              <w:rPr>
                <w:rFonts w:hint="eastAsia" w:ascii="宋体" w:hAnsi="宋体" w:cs="仿宋_GB2312"/>
                <w:sz w:val="18"/>
                <w:szCs w:val="18"/>
              </w:rPr>
              <w:t>完全可以预料。</w:t>
            </w:r>
          </w:p>
        </w:tc>
      </w:tr>
      <w:tr w14:paraId="6E6A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109" w:type="dxa"/>
            <w:noWrap w:val="0"/>
            <w:vAlign w:val="center"/>
          </w:tcPr>
          <w:p w14:paraId="2276E661">
            <w:pPr>
              <w:jc w:val="center"/>
              <w:rPr>
                <w:rFonts w:ascii="宋体" w:hAnsi="宋体" w:cs="仿宋_GB2312"/>
                <w:sz w:val="18"/>
                <w:szCs w:val="18"/>
              </w:rPr>
            </w:pPr>
            <w:r>
              <w:rPr>
                <w:rFonts w:ascii="宋体" w:hAnsi="宋体" w:cs="仿宋_GB2312"/>
                <w:sz w:val="18"/>
                <w:szCs w:val="18"/>
              </w:rPr>
              <w:t>6</w:t>
            </w:r>
          </w:p>
        </w:tc>
        <w:tc>
          <w:tcPr>
            <w:tcW w:w="8431" w:type="dxa"/>
            <w:noWrap w:val="0"/>
            <w:vAlign w:val="center"/>
          </w:tcPr>
          <w:p w14:paraId="7DB24745">
            <w:pPr>
              <w:jc w:val="left"/>
              <w:rPr>
                <w:rFonts w:hint="eastAsia" w:ascii="宋体" w:hAnsi="宋体" w:eastAsiaTheme="minorEastAsia"/>
                <w:sz w:val="18"/>
                <w:szCs w:val="18"/>
                <w:lang w:eastAsia="zh-CN"/>
              </w:rPr>
            </w:pPr>
            <w:r>
              <w:rPr>
                <w:rFonts w:hint="eastAsia" w:ascii="宋体" w:hAnsi="宋体" w:cs="仿宋_GB2312"/>
                <w:sz w:val="18"/>
                <w:szCs w:val="18"/>
              </w:rPr>
              <w:t>相当可能；</w:t>
            </w:r>
            <w:r>
              <w:rPr>
                <w:rFonts w:hint="eastAsia" w:ascii="宋体" w:hAnsi="宋体" w:cs="仿宋_GB2312"/>
                <w:sz w:val="18"/>
                <w:szCs w:val="18"/>
                <w:lang w:val="en-US" w:eastAsia="zh-CN"/>
              </w:rPr>
              <w:t>危害的发生不能被发现；</w:t>
            </w:r>
            <w:r>
              <w:rPr>
                <w:rFonts w:hint="eastAsia" w:ascii="宋体" w:hAnsi="宋体" w:cs="仿宋_GB2312"/>
                <w:sz w:val="18"/>
                <w:szCs w:val="18"/>
              </w:rPr>
              <w:t>或在现场没有采取防范、监测、保护、控制措施；或在正常情况下经常发生此类事故、事件或偏差</w:t>
            </w:r>
            <w:r>
              <w:rPr>
                <w:rFonts w:hint="eastAsia" w:ascii="宋体" w:hAnsi="宋体" w:cs="仿宋_GB2312"/>
                <w:sz w:val="18"/>
                <w:szCs w:val="18"/>
                <w:lang w:eastAsia="zh-CN"/>
              </w:rPr>
              <w:t>。</w:t>
            </w:r>
          </w:p>
        </w:tc>
      </w:tr>
      <w:tr w14:paraId="7751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109" w:type="dxa"/>
            <w:noWrap w:val="0"/>
            <w:vAlign w:val="center"/>
          </w:tcPr>
          <w:p w14:paraId="19BBB7BE">
            <w:pPr>
              <w:jc w:val="center"/>
              <w:rPr>
                <w:rFonts w:ascii="宋体" w:hAnsi="宋体" w:cs="仿宋_GB2312"/>
                <w:sz w:val="18"/>
                <w:szCs w:val="18"/>
              </w:rPr>
            </w:pPr>
            <w:r>
              <w:rPr>
                <w:rFonts w:ascii="宋体" w:hAnsi="宋体" w:cs="仿宋_GB2312"/>
                <w:sz w:val="18"/>
                <w:szCs w:val="18"/>
              </w:rPr>
              <w:t>3</w:t>
            </w:r>
          </w:p>
        </w:tc>
        <w:tc>
          <w:tcPr>
            <w:tcW w:w="8431" w:type="dxa"/>
            <w:noWrap w:val="0"/>
            <w:vAlign w:val="center"/>
          </w:tcPr>
          <w:p w14:paraId="2E5D333E">
            <w:pPr>
              <w:jc w:val="left"/>
              <w:rPr>
                <w:rFonts w:hint="eastAsia" w:ascii="宋体" w:hAnsi="宋体" w:eastAsiaTheme="minorEastAsia"/>
                <w:sz w:val="18"/>
                <w:szCs w:val="18"/>
                <w:lang w:eastAsia="zh-CN"/>
              </w:rPr>
            </w:pPr>
            <w:r>
              <w:rPr>
                <w:rFonts w:hint="eastAsia" w:ascii="宋体" w:hAnsi="宋体" w:cs="仿宋_GB2312"/>
                <w:sz w:val="18"/>
                <w:szCs w:val="18"/>
              </w:rPr>
              <w:t>可能，但不经常；或危害的发生不容易被发现；现场没有保护措施（如没有保护装置、没有个人防护用品等），也未作过任何监测；或未严格按操作规程执行；或在现场有控制措施，但未有效执行或控制措施不当；或危害在预期情况下发生</w:t>
            </w:r>
            <w:r>
              <w:rPr>
                <w:rFonts w:hint="eastAsia" w:ascii="宋体" w:hAnsi="宋体" w:cs="仿宋_GB2312"/>
                <w:sz w:val="18"/>
                <w:szCs w:val="18"/>
                <w:lang w:eastAsia="zh-CN"/>
              </w:rPr>
              <w:t>。</w:t>
            </w:r>
          </w:p>
        </w:tc>
      </w:tr>
      <w:tr w14:paraId="67B9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109" w:type="dxa"/>
            <w:noWrap w:val="0"/>
            <w:vAlign w:val="center"/>
          </w:tcPr>
          <w:p w14:paraId="1645F386">
            <w:pPr>
              <w:jc w:val="center"/>
              <w:rPr>
                <w:rFonts w:ascii="宋体" w:hAnsi="宋体" w:cs="仿宋_GB2312"/>
                <w:sz w:val="18"/>
                <w:szCs w:val="18"/>
              </w:rPr>
            </w:pPr>
            <w:r>
              <w:rPr>
                <w:rFonts w:ascii="宋体" w:hAnsi="宋体" w:cs="仿宋_GB2312"/>
                <w:sz w:val="18"/>
                <w:szCs w:val="18"/>
              </w:rPr>
              <w:t>1</w:t>
            </w:r>
          </w:p>
        </w:tc>
        <w:tc>
          <w:tcPr>
            <w:tcW w:w="8431" w:type="dxa"/>
            <w:noWrap w:val="0"/>
            <w:vAlign w:val="center"/>
          </w:tcPr>
          <w:p w14:paraId="4E1BE506">
            <w:pPr>
              <w:jc w:val="left"/>
              <w:rPr>
                <w:rFonts w:hint="eastAsia" w:ascii="宋体" w:hAnsi="宋体" w:eastAsiaTheme="minorEastAsia"/>
                <w:sz w:val="18"/>
                <w:szCs w:val="18"/>
                <w:lang w:eastAsia="zh-CN"/>
              </w:rPr>
            </w:pPr>
            <w:r>
              <w:rPr>
                <w:rFonts w:hint="eastAsia" w:ascii="宋体" w:hAnsi="宋体" w:cs="仿宋_GB2312"/>
                <w:sz w:val="18"/>
                <w:szCs w:val="18"/>
              </w:rPr>
              <w:t>可能性小，完全意外；或危害的发生容易被发现；现场有监测系统或曾经作过监测；或过去曾经发生类似事故、事件或偏差；或在异常情况下发生过类似事故、事件或偏差</w:t>
            </w:r>
            <w:r>
              <w:rPr>
                <w:rFonts w:hint="eastAsia" w:ascii="宋体" w:hAnsi="宋体" w:cs="仿宋_GB2312"/>
                <w:sz w:val="18"/>
                <w:szCs w:val="18"/>
                <w:lang w:eastAsia="zh-CN"/>
              </w:rPr>
              <w:t>。</w:t>
            </w:r>
          </w:p>
        </w:tc>
      </w:tr>
      <w:tr w14:paraId="7DC2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109" w:type="dxa"/>
            <w:noWrap w:val="0"/>
            <w:vAlign w:val="center"/>
          </w:tcPr>
          <w:p w14:paraId="4F345948">
            <w:pPr>
              <w:jc w:val="center"/>
              <w:rPr>
                <w:rFonts w:ascii="宋体" w:hAnsi="宋体" w:cs="仿宋_GB2312"/>
                <w:sz w:val="18"/>
                <w:szCs w:val="18"/>
              </w:rPr>
            </w:pPr>
            <w:r>
              <w:rPr>
                <w:rFonts w:ascii="宋体" w:hAnsi="宋体" w:cs="仿宋_GB2312"/>
                <w:sz w:val="18"/>
                <w:szCs w:val="18"/>
              </w:rPr>
              <w:t>0.5</w:t>
            </w:r>
          </w:p>
        </w:tc>
        <w:tc>
          <w:tcPr>
            <w:tcW w:w="8431" w:type="dxa"/>
            <w:noWrap w:val="0"/>
            <w:vAlign w:val="center"/>
          </w:tcPr>
          <w:p w14:paraId="1B2AB2B9">
            <w:pPr>
              <w:jc w:val="left"/>
              <w:rPr>
                <w:rFonts w:hint="eastAsia" w:ascii="宋体" w:hAnsi="宋体" w:eastAsiaTheme="minorEastAsia"/>
                <w:sz w:val="18"/>
                <w:szCs w:val="18"/>
                <w:lang w:eastAsia="zh-CN"/>
              </w:rPr>
            </w:pPr>
            <w:r>
              <w:rPr>
                <w:rFonts w:hint="eastAsia" w:ascii="宋体" w:hAnsi="宋体" w:cs="仿宋_GB2312"/>
                <w:sz w:val="18"/>
                <w:szCs w:val="18"/>
              </w:rPr>
              <w:t>很不可能，可以设想；危害一旦发生能及时发现，并能定期进行监测</w:t>
            </w:r>
            <w:r>
              <w:rPr>
                <w:rFonts w:hint="eastAsia" w:ascii="宋体" w:hAnsi="宋体" w:cs="仿宋_GB2312"/>
                <w:sz w:val="18"/>
                <w:szCs w:val="18"/>
                <w:lang w:eastAsia="zh-CN"/>
              </w:rPr>
              <w:t>。</w:t>
            </w:r>
          </w:p>
        </w:tc>
      </w:tr>
      <w:tr w14:paraId="006E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109" w:type="dxa"/>
            <w:noWrap w:val="0"/>
            <w:vAlign w:val="center"/>
          </w:tcPr>
          <w:p w14:paraId="3F503D89">
            <w:pPr>
              <w:jc w:val="center"/>
              <w:rPr>
                <w:rFonts w:ascii="宋体" w:hAnsi="宋体" w:cs="仿宋_GB2312"/>
                <w:sz w:val="18"/>
                <w:szCs w:val="18"/>
              </w:rPr>
            </w:pPr>
            <w:r>
              <w:rPr>
                <w:rFonts w:ascii="宋体" w:hAnsi="宋体" w:cs="仿宋_GB2312"/>
                <w:sz w:val="18"/>
                <w:szCs w:val="18"/>
              </w:rPr>
              <w:t>0.2</w:t>
            </w:r>
          </w:p>
        </w:tc>
        <w:tc>
          <w:tcPr>
            <w:tcW w:w="8431" w:type="dxa"/>
            <w:noWrap w:val="0"/>
            <w:vAlign w:val="center"/>
          </w:tcPr>
          <w:p w14:paraId="04D5BB02">
            <w:pPr>
              <w:jc w:val="left"/>
              <w:rPr>
                <w:rFonts w:hint="eastAsia" w:ascii="宋体" w:hAnsi="宋体" w:eastAsiaTheme="minorEastAsia"/>
                <w:sz w:val="18"/>
                <w:szCs w:val="18"/>
                <w:lang w:eastAsia="zh-CN"/>
              </w:rPr>
            </w:pPr>
            <w:r>
              <w:rPr>
                <w:rFonts w:hint="eastAsia" w:ascii="宋体" w:hAnsi="宋体" w:cs="仿宋_GB2312"/>
                <w:sz w:val="18"/>
                <w:szCs w:val="18"/>
              </w:rPr>
              <w:t>极不可能；有充分、有效的防范、控制、监测、保护措施；或员工安全卫生意识相当高，严格执行操作规程</w:t>
            </w:r>
            <w:r>
              <w:rPr>
                <w:rFonts w:hint="eastAsia" w:ascii="宋体" w:hAnsi="宋体" w:cs="仿宋_GB2312"/>
                <w:sz w:val="18"/>
                <w:szCs w:val="18"/>
                <w:lang w:eastAsia="zh-CN"/>
              </w:rPr>
              <w:t>。</w:t>
            </w:r>
          </w:p>
        </w:tc>
      </w:tr>
      <w:tr w14:paraId="7C7D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09" w:type="dxa"/>
            <w:noWrap w:val="0"/>
            <w:vAlign w:val="center"/>
          </w:tcPr>
          <w:p w14:paraId="29FE25C2">
            <w:pPr>
              <w:jc w:val="center"/>
              <w:rPr>
                <w:rFonts w:ascii="宋体" w:hAnsi="宋体" w:cs="仿宋_GB2312"/>
                <w:sz w:val="18"/>
                <w:szCs w:val="18"/>
              </w:rPr>
            </w:pPr>
            <w:r>
              <w:rPr>
                <w:rFonts w:ascii="宋体" w:hAnsi="宋体" w:cs="仿宋_GB2312"/>
                <w:sz w:val="18"/>
                <w:szCs w:val="18"/>
              </w:rPr>
              <w:t>0.1</w:t>
            </w:r>
          </w:p>
        </w:tc>
        <w:tc>
          <w:tcPr>
            <w:tcW w:w="8431" w:type="dxa"/>
            <w:noWrap w:val="0"/>
            <w:vAlign w:val="center"/>
          </w:tcPr>
          <w:p w14:paraId="6A27B635">
            <w:pPr>
              <w:jc w:val="left"/>
              <w:rPr>
                <w:rFonts w:hint="eastAsia" w:ascii="宋体" w:hAnsi="宋体" w:eastAsiaTheme="minorEastAsia"/>
                <w:sz w:val="18"/>
                <w:szCs w:val="18"/>
                <w:lang w:eastAsia="zh-CN"/>
              </w:rPr>
            </w:pPr>
            <w:r>
              <w:rPr>
                <w:rFonts w:hint="eastAsia" w:ascii="宋体" w:hAnsi="宋体" w:cs="仿宋_GB2312"/>
                <w:sz w:val="18"/>
                <w:szCs w:val="18"/>
              </w:rPr>
              <w:t>实际不可能</w:t>
            </w:r>
            <w:r>
              <w:rPr>
                <w:rFonts w:hint="eastAsia" w:ascii="宋体" w:hAnsi="宋体" w:cs="仿宋_GB2312"/>
                <w:sz w:val="18"/>
                <w:szCs w:val="18"/>
                <w:lang w:eastAsia="zh-CN"/>
              </w:rPr>
              <w:t>。</w:t>
            </w:r>
          </w:p>
        </w:tc>
      </w:tr>
    </w:tbl>
    <w:p w14:paraId="52869FBD">
      <w:pPr>
        <w:pStyle w:val="79"/>
        <w:numPr>
          <w:ilvl w:val="0"/>
          <w:numId w:val="0"/>
        </w:numPr>
        <w:tabs>
          <w:tab w:val="left" w:pos="180"/>
        </w:tabs>
        <w:spacing w:before="156" w:after="156"/>
      </w:pPr>
      <w:r>
        <w:rPr>
          <w:rFonts w:hint="eastAsia"/>
        </w:rPr>
        <w:t>表</w:t>
      </w:r>
      <w:r>
        <w:rPr>
          <w:rFonts w:hint="eastAsia"/>
          <w:lang w:val="en-US" w:eastAsia="zh-CN"/>
        </w:rPr>
        <w:t>C</w:t>
      </w:r>
      <w:r>
        <w:rPr>
          <w:rFonts w:hint="eastAsia"/>
        </w:rPr>
        <w:t>.2  暴露于危险环境的频繁程度（</w:t>
      </w:r>
      <w:r>
        <w:t>E</w:t>
      </w:r>
      <w:r>
        <w:rPr>
          <w:rFonts w:hint="eastAsia"/>
        </w:rPr>
        <w:t>）判定准则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3666"/>
        <w:gridCol w:w="1645"/>
        <w:gridCol w:w="3076"/>
      </w:tblGrid>
      <w:tr w14:paraId="06FC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133" w:type="dxa"/>
            <w:noWrap w:val="0"/>
            <w:vAlign w:val="center"/>
          </w:tcPr>
          <w:p w14:paraId="4FC3F46B">
            <w:pPr>
              <w:jc w:val="center"/>
              <w:rPr>
                <w:rFonts w:ascii="宋体" w:hAnsi="宋体"/>
                <w:bCs/>
                <w:sz w:val="18"/>
                <w:szCs w:val="18"/>
              </w:rPr>
            </w:pPr>
            <w:r>
              <w:rPr>
                <w:rFonts w:hint="eastAsia" w:ascii="宋体" w:hAnsi="宋体" w:cs="仿宋_GB2312"/>
                <w:bCs/>
                <w:sz w:val="18"/>
                <w:szCs w:val="18"/>
              </w:rPr>
              <w:t>分值</w:t>
            </w:r>
          </w:p>
        </w:tc>
        <w:tc>
          <w:tcPr>
            <w:tcW w:w="3666" w:type="dxa"/>
            <w:noWrap w:val="0"/>
            <w:vAlign w:val="center"/>
          </w:tcPr>
          <w:p w14:paraId="7545A13A">
            <w:pPr>
              <w:jc w:val="center"/>
              <w:rPr>
                <w:rFonts w:ascii="宋体" w:hAnsi="宋体"/>
                <w:bCs/>
                <w:sz w:val="18"/>
                <w:szCs w:val="18"/>
              </w:rPr>
            </w:pPr>
            <w:r>
              <w:rPr>
                <w:rFonts w:hint="eastAsia" w:ascii="宋体" w:hAnsi="宋体" w:cs="仿宋_GB2312"/>
                <w:bCs/>
                <w:sz w:val="18"/>
                <w:szCs w:val="18"/>
              </w:rPr>
              <w:t>频繁程度</w:t>
            </w:r>
          </w:p>
        </w:tc>
        <w:tc>
          <w:tcPr>
            <w:tcW w:w="1645" w:type="dxa"/>
            <w:noWrap w:val="0"/>
            <w:vAlign w:val="center"/>
          </w:tcPr>
          <w:p w14:paraId="3A610EA6">
            <w:pPr>
              <w:jc w:val="center"/>
              <w:rPr>
                <w:rFonts w:ascii="宋体" w:hAnsi="宋体"/>
                <w:bCs/>
                <w:sz w:val="18"/>
                <w:szCs w:val="18"/>
              </w:rPr>
            </w:pPr>
            <w:r>
              <w:rPr>
                <w:rFonts w:hint="eastAsia" w:ascii="宋体" w:hAnsi="宋体" w:cs="仿宋_GB2312"/>
                <w:bCs/>
                <w:sz w:val="18"/>
                <w:szCs w:val="18"/>
              </w:rPr>
              <w:t>分值</w:t>
            </w:r>
          </w:p>
        </w:tc>
        <w:tc>
          <w:tcPr>
            <w:tcW w:w="3076" w:type="dxa"/>
            <w:noWrap w:val="0"/>
            <w:vAlign w:val="center"/>
          </w:tcPr>
          <w:p w14:paraId="16FBF9CC">
            <w:pPr>
              <w:jc w:val="center"/>
              <w:rPr>
                <w:rFonts w:ascii="宋体" w:hAnsi="宋体"/>
                <w:bCs/>
                <w:sz w:val="18"/>
                <w:szCs w:val="18"/>
              </w:rPr>
            </w:pPr>
            <w:r>
              <w:rPr>
                <w:rFonts w:hint="eastAsia" w:ascii="宋体" w:hAnsi="宋体" w:cs="仿宋_GB2312"/>
                <w:bCs/>
                <w:sz w:val="18"/>
                <w:szCs w:val="18"/>
              </w:rPr>
              <w:t>频繁程度</w:t>
            </w:r>
          </w:p>
        </w:tc>
      </w:tr>
      <w:tr w14:paraId="3E49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133" w:type="dxa"/>
            <w:noWrap w:val="0"/>
            <w:vAlign w:val="center"/>
          </w:tcPr>
          <w:p w14:paraId="06F6D8B5">
            <w:pPr>
              <w:jc w:val="center"/>
              <w:rPr>
                <w:rFonts w:ascii="宋体" w:hAnsi="宋体"/>
                <w:b/>
                <w:bCs/>
                <w:sz w:val="18"/>
                <w:szCs w:val="18"/>
              </w:rPr>
            </w:pPr>
            <w:r>
              <w:rPr>
                <w:rFonts w:ascii="宋体" w:hAnsi="宋体" w:cs="仿宋_GB2312"/>
                <w:sz w:val="18"/>
                <w:szCs w:val="18"/>
              </w:rPr>
              <w:t>10</w:t>
            </w:r>
          </w:p>
        </w:tc>
        <w:tc>
          <w:tcPr>
            <w:tcW w:w="3666" w:type="dxa"/>
            <w:noWrap w:val="0"/>
            <w:vAlign w:val="center"/>
          </w:tcPr>
          <w:p w14:paraId="60A545CF">
            <w:pPr>
              <w:rPr>
                <w:rFonts w:ascii="宋体" w:hAnsi="宋体"/>
                <w:b/>
                <w:bCs/>
                <w:sz w:val="18"/>
                <w:szCs w:val="18"/>
              </w:rPr>
            </w:pPr>
            <w:r>
              <w:rPr>
                <w:rFonts w:hint="eastAsia" w:ascii="宋体" w:hAnsi="宋体" w:cs="仿宋_GB2312"/>
                <w:sz w:val="18"/>
                <w:szCs w:val="18"/>
              </w:rPr>
              <w:t>连续暴露</w:t>
            </w:r>
          </w:p>
        </w:tc>
        <w:tc>
          <w:tcPr>
            <w:tcW w:w="1645" w:type="dxa"/>
            <w:noWrap w:val="0"/>
            <w:vAlign w:val="center"/>
          </w:tcPr>
          <w:p w14:paraId="7E12AE9B">
            <w:pPr>
              <w:jc w:val="center"/>
              <w:rPr>
                <w:rFonts w:ascii="宋体" w:hAnsi="宋体"/>
                <w:b/>
                <w:bCs/>
                <w:sz w:val="18"/>
                <w:szCs w:val="18"/>
              </w:rPr>
            </w:pPr>
            <w:r>
              <w:rPr>
                <w:rFonts w:ascii="宋体" w:hAnsi="宋体" w:cs="仿宋_GB2312"/>
                <w:sz w:val="18"/>
                <w:szCs w:val="18"/>
              </w:rPr>
              <w:t>2</w:t>
            </w:r>
          </w:p>
        </w:tc>
        <w:tc>
          <w:tcPr>
            <w:tcW w:w="3076" w:type="dxa"/>
            <w:noWrap w:val="0"/>
            <w:vAlign w:val="center"/>
          </w:tcPr>
          <w:p w14:paraId="799D2AB1">
            <w:pPr>
              <w:jc w:val="left"/>
              <w:rPr>
                <w:rFonts w:ascii="宋体" w:hAnsi="宋体"/>
                <w:b/>
                <w:bCs/>
                <w:sz w:val="18"/>
                <w:szCs w:val="18"/>
              </w:rPr>
            </w:pPr>
            <w:r>
              <w:rPr>
                <w:rFonts w:hint="eastAsia" w:ascii="宋体" w:hAnsi="宋体" w:cs="仿宋_GB2312"/>
                <w:sz w:val="18"/>
                <w:szCs w:val="18"/>
              </w:rPr>
              <w:t>每月一次暴露</w:t>
            </w:r>
          </w:p>
        </w:tc>
      </w:tr>
      <w:tr w14:paraId="006B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133" w:type="dxa"/>
            <w:noWrap w:val="0"/>
            <w:vAlign w:val="center"/>
          </w:tcPr>
          <w:p w14:paraId="5456A15D">
            <w:pPr>
              <w:jc w:val="center"/>
              <w:rPr>
                <w:rFonts w:ascii="宋体" w:hAnsi="宋体"/>
                <w:b/>
                <w:bCs/>
                <w:sz w:val="18"/>
                <w:szCs w:val="18"/>
              </w:rPr>
            </w:pPr>
            <w:r>
              <w:rPr>
                <w:rFonts w:ascii="宋体" w:hAnsi="宋体" w:cs="仿宋_GB2312"/>
                <w:sz w:val="18"/>
                <w:szCs w:val="18"/>
              </w:rPr>
              <w:t>6</w:t>
            </w:r>
          </w:p>
        </w:tc>
        <w:tc>
          <w:tcPr>
            <w:tcW w:w="3666" w:type="dxa"/>
            <w:noWrap w:val="0"/>
            <w:vAlign w:val="center"/>
          </w:tcPr>
          <w:p w14:paraId="4721EA58">
            <w:pPr>
              <w:rPr>
                <w:rFonts w:ascii="宋体" w:hAnsi="宋体"/>
                <w:b/>
                <w:bCs/>
                <w:sz w:val="18"/>
                <w:szCs w:val="18"/>
              </w:rPr>
            </w:pPr>
            <w:r>
              <w:rPr>
                <w:rFonts w:hint="eastAsia" w:ascii="宋体" w:hAnsi="宋体" w:cs="仿宋_GB2312"/>
                <w:sz w:val="18"/>
                <w:szCs w:val="18"/>
              </w:rPr>
              <w:t>每天工作时间内暴露</w:t>
            </w:r>
          </w:p>
        </w:tc>
        <w:tc>
          <w:tcPr>
            <w:tcW w:w="1645" w:type="dxa"/>
            <w:noWrap w:val="0"/>
            <w:vAlign w:val="center"/>
          </w:tcPr>
          <w:p w14:paraId="01924496">
            <w:pPr>
              <w:jc w:val="center"/>
              <w:rPr>
                <w:rFonts w:ascii="宋体" w:hAnsi="宋体"/>
                <w:b/>
                <w:bCs/>
                <w:sz w:val="18"/>
                <w:szCs w:val="18"/>
              </w:rPr>
            </w:pPr>
            <w:r>
              <w:rPr>
                <w:rFonts w:ascii="宋体" w:hAnsi="宋体" w:cs="仿宋_GB2312"/>
                <w:sz w:val="18"/>
                <w:szCs w:val="18"/>
              </w:rPr>
              <w:t>1</w:t>
            </w:r>
          </w:p>
        </w:tc>
        <w:tc>
          <w:tcPr>
            <w:tcW w:w="3076" w:type="dxa"/>
            <w:noWrap w:val="0"/>
            <w:vAlign w:val="center"/>
          </w:tcPr>
          <w:p w14:paraId="3972370E">
            <w:pPr>
              <w:jc w:val="left"/>
              <w:rPr>
                <w:rFonts w:ascii="宋体" w:hAnsi="宋体"/>
                <w:b/>
                <w:bCs/>
                <w:sz w:val="18"/>
                <w:szCs w:val="18"/>
              </w:rPr>
            </w:pPr>
            <w:r>
              <w:rPr>
                <w:rFonts w:hint="eastAsia" w:ascii="宋体" w:hAnsi="宋体" w:cs="仿宋_GB2312"/>
                <w:sz w:val="18"/>
                <w:szCs w:val="18"/>
              </w:rPr>
              <w:t>每年几次暴露</w:t>
            </w:r>
          </w:p>
        </w:tc>
      </w:tr>
      <w:tr w14:paraId="4CE6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133" w:type="dxa"/>
            <w:noWrap w:val="0"/>
            <w:vAlign w:val="center"/>
          </w:tcPr>
          <w:p w14:paraId="2F11AAD4">
            <w:pPr>
              <w:jc w:val="center"/>
              <w:rPr>
                <w:rFonts w:ascii="宋体" w:hAnsi="宋体" w:cs="仿宋_GB2312"/>
                <w:sz w:val="18"/>
                <w:szCs w:val="18"/>
              </w:rPr>
            </w:pPr>
            <w:r>
              <w:rPr>
                <w:rFonts w:ascii="宋体" w:hAnsi="宋体" w:cs="仿宋_GB2312"/>
                <w:sz w:val="18"/>
                <w:szCs w:val="18"/>
              </w:rPr>
              <w:t>3</w:t>
            </w:r>
          </w:p>
        </w:tc>
        <w:tc>
          <w:tcPr>
            <w:tcW w:w="3666" w:type="dxa"/>
            <w:noWrap w:val="0"/>
            <w:vAlign w:val="center"/>
          </w:tcPr>
          <w:p w14:paraId="46A911BB">
            <w:pPr>
              <w:rPr>
                <w:rFonts w:ascii="宋体" w:hAnsi="宋体"/>
                <w:sz w:val="18"/>
                <w:szCs w:val="18"/>
              </w:rPr>
            </w:pPr>
            <w:r>
              <w:rPr>
                <w:rFonts w:hint="eastAsia" w:ascii="宋体" w:hAnsi="宋体" w:cs="仿宋_GB2312"/>
                <w:sz w:val="18"/>
                <w:szCs w:val="18"/>
              </w:rPr>
              <w:t>每周一次或偶然暴露</w:t>
            </w:r>
          </w:p>
        </w:tc>
        <w:tc>
          <w:tcPr>
            <w:tcW w:w="1645" w:type="dxa"/>
            <w:noWrap w:val="0"/>
            <w:vAlign w:val="center"/>
          </w:tcPr>
          <w:p w14:paraId="3393F744">
            <w:pPr>
              <w:jc w:val="center"/>
              <w:rPr>
                <w:rFonts w:ascii="宋体" w:hAnsi="宋体" w:cs="仿宋_GB2312"/>
                <w:sz w:val="18"/>
                <w:szCs w:val="18"/>
              </w:rPr>
            </w:pPr>
            <w:r>
              <w:rPr>
                <w:rFonts w:ascii="宋体" w:hAnsi="宋体" w:cs="仿宋_GB2312"/>
                <w:sz w:val="18"/>
                <w:szCs w:val="18"/>
              </w:rPr>
              <w:t>0.5</w:t>
            </w:r>
          </w:p>
        </w:tc>
        <w:tc>
          <w:tcPr>
            <w:tcW w:w="3076" w:type="dxa"/>
            <w:noWrap w:val="0"/>
            <w:vAlign w:val="center"/>
          </w:tcPr>
          <w:p w14:paraId="11FEC114">
            <w:pPr>
              <w:jc w:val="left"/>
              <w:rPr>
                <w:rFonts w:ascii="宋体" w:hAnsi="宋体"/>
                <w:sz w:val="18"/>
                <w:szCs w:val="18"/>
              </w:rPr>
            </w:pPr>
            <w:r>
              <w:rPr>
                <w:rFonts w:hint="eastAsia" w:ascii="宋体" w:hAnsi="宋体" w:cs="仿宋_GB2312"/>
                <w:sz w:val="18"/>
                <w:szCs w:val="18"/>
              </w:rPr>
              <w:t>非常罕见地暴露</w:t>
            </w:r>
          </w:p>
        </w:tc>
      </w:tr>
    </w:tbl>
    <w:p w14:paraId="077DB117">
      <w:pPr>
        <w:pStyle w:val="79"/>
        <w:numPr>
          <w:ilvl w:val="0"/>
          <w:numId w:val="0"/>
        </w:numPr>
        <w:tabs>
          <w:tab w:val="left" w:pos="180"/>
        </w:tabs>
        <w:spacing w:before="156" w:after="156"/>
        <w:rPr>
          <w:rFonts w:hint="eastAsia"/>
        </w:rPr>
        <w:sectPr>
          <w:headerReference r:id="rId10" w:type="default"/>
          <w:footerReference r:id="rId11" w:type="default"/>
          <w:footerReference r:id="rId12" w:type="even"/>
          <w:pgSz w:w="11900" w:h="16840"/>
          <w:pgMar w:top="561" w:right="1134" w:bottom="561" w:left="1418" w:header="1418" w:footer="720" w:gutter="0"/>
          <w:pgNumType w:fmt="decimal"/>
          <w:cols w:space="720" w:num="1"/>
          <w:docGrid w:linePitch="286" w:charSpace="0"/>
        </w:sectPr>
      </w:pPr>
    </w:p>
    <w:p w14:paraId="7E136E5C">
      <w:pPr>
        <w:pStyle w:val="79"/>
        <w:numPr>
          <w:ilvl w:val="0"/>
          <w:numId w:val="0"/>
        </w:numPr>
        <w:tabs>
          <w:tab w:val="left" w:pos="180"/>
        </w:tabs>
        <w:spacing w:before="156" w:after="156"/>
      </w:pPr>
      <w:r>
        <w:rPr>
          <w:rFonts w:hint="eastAsia"/>
        </w:rPr>
        <w:t>表</w:t>
      </w:r>
      <w:r>
        <w:rPr>
          <w:rFonts w:hint="eastAsia"/>
          <w:lang w:val="en-US" w:eastAsia="zh-CN"/>
        </w:rPr>
        <w:t>C</w:t>
      </w:r>
      <w:r>
        <w:rPr>
          <w:rFonts w:hint="eastAsia"/>
        </w:rPr>
        <w:t>.3  发生事故事件偏差产生的后果严重性（</w:t>
      </w:r>
      <w:r>
        <w:t>C</w:t>
      </w:r>
      <w:r>
        <w:rPr>
          <w:rFonts w:hint="eastAsia"/>
        </w:rPr>
        <w:t>）判定准则</w:t>
      </w:r>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4050"/>
        <w:gridCol w:w="4497"/>
      </w:tblGrid>
      <w:tr w14:paraId="6312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92" w:type="dxa"/>
            <w:noWrap w:val="0"/>
            <w:vAlign w:val="center"/>
          </w:tcPr>
          <w:p w14:paraId="17BC1854">
            <w:pPr>
              <w:jc w:val="center"/>
              <w:rPr>
                <w:rFonts w:ascii="宋体" w:hAnsi="宋体"/>
                <w:bCs/>
                <w:color w:val="000000" w:themeColor="text1"/>
                <w:sz w:val="18"/>
                <w:szCs w:val="18"/>
                <w14:textFill>
                  <w14:solidFill>
                    <w14:schemeClr w14:val="tx1"/>
                  </w14:solidFill>
                </w14:textFill>
              </w:rPr>
            </w:pPr>
            <w:r>
              <w:rPr>
                <w:rFonts w:hint="eastAsia" w:ascii="宋体" w:hAnsi="宋体" w:cs="仿宋_GB2312"/>
                <w:bCs/>
                <w:color w:val="000000" w:themeColor="text1"/>
                <w:sz w:val="18"/>
                <w:szCs w:val="18"/>
                <w14:textFill>
                  <w14:solidFill>
                    <w14:schemeClr w14:val="tx1"/>
                  </w14:solidFill>
                </w14:textFill>
              </w:rPr>
              <w:t>分值</w:t>
            </w:r>
          </w:p>
        </w:tc>
        <w:tc>
          <w:tcPr>
            <w:tcW w:w="4050" w:type="dxa"/>
            <w:noWrap w:val="0"/>
            <w:vAlign w:val="center"/>
          </w:tcPr>
          <w:p w14:paraId="1893790F">
            <w:pPr>
              <w:jc w:val="center"/>
              <w:rPr>
                <w:rFonts w:ascii="宋体" w:hAnsi="宋体" w:cs="仿宋_GB2312"/>
                <w:bCs/>
                <w:color w:val="000000" w:themeColor="text1"/>
                <w:sz w:val="18"/>
                <w:szCs w:val="18"/>
                <w14:textFill>
                  <w14:solidFill>
                    <w14:schemeClr w14:val="tx1"/>
                  </w14:solidFill>
                </w14:textFill>
              </w:rPr>
            </w:pPr>
            <w:r>
              <w:rPr>
                <w:rFonts w:hint="eastAsia" w:ascii="宋体" w:hAnsi="宋体" w:cs="仿宋_GB2312"/>
                <w:bCs/>
                <w:color w:val="000000" w:themeColor="text1"/>
                <w:sz w:val="18"/>
                <w:szCs w:val="18"/>
                <w14:textFill>
                  <w14:solidFill>
                    <w14:schemeClr w14:val="tx1"/>
                  </w14:solidFill>
                </w14:textFill>
              </w:rPr>
              <w:t>法律法规</w:t>
            </w:r>
          </w:p>
          <w:p w14:paraId="1CF9162B">
            <w:pPr>
              <w:jc w:val="center"/>
              <w:rPr>
                <w:rFonts w:ascii="宋体" w:hAnsi="宋体"/>
                <w:bCs/>
                <w:color w:val="000000" w:themeColor="text1"/>
                <w:sz w:val="18"/>
                <w:szCs w:val="18"/>
                <w14:textFill>
                  <w14:solidFill>
                    <w14:schemeClr w14:val="tx1"/>
                  </w14:solidFill>
                </w14:textFill>
              </w:rPr>
            </w:pPr>
            <w:r>
              <w:rPr>
                <w:rFonts w:hint="eastAsia" w:ascii="宋体" w:hAnsi="宋体" w:cs="仿宋_GB2312"/>
                <w:bCs/>
                <w:color w:val="000000" w:themeColor="text1"/>
                <w:sz w:val="18"/>
                <w:szCs w:val="18"/>
                <w14:textFill>
                  <w14:solidFill>
                    <w14:schemeClr w14:val="tx1"/>
                  </w14:solidFill>
                </w14:textFill>
              </w:rPr>
              <w:t>及其他要求</w:t>
            </w:r>
          </w:p>
        </w:tc>
        <w:tc>
          <w:tcPr>
            <w:tcW w:w="4497" w:type="dxa"/>
            <w:noWrap w:val="0"/>
            <w:vAlign w:val="center"/>
          </w:tcPr>
          <w:p w14:paraId="3193F6D2">
            <w:pPr>
              <w:jc w:val="center"/>
              <w:rPr>
                <w:rFonts w:ascii="宋体" w:hAnsi="宋体"/>
                <w:bCs/>
                <w:color w:val="000000" w:themeColor="text1"/>
                <w:sz w:val="18"/>
                <w:szCs w:val="18"/>
                <w14:textFill>
                  <w14:solidFill>
                    <w14:schemeClr w14:val="tx1"/>
                  </w14:solidFill>
                </w14:textFill>
              </w:rPr>
            </w:pPr>
            <w:r>
              <w:rPr>
                <w:rFonts w:hint="eastAsia" w:ascii="宋体" w:hAnsi="宋体" w:cs="仿宋_GB2312"/>
                <w:bCs/>
                <w:color w:val="000000" w:themeColor="text1"/>
                <w:sz w:val="18"/>
                <w:szCs w:val="18"/>
                <w14:textFill>
                  <w14:solidFill>
                    <w14:schemeClr w14:val="tx1"/>
                  </w14:solidFill>
                </w14:textFill>
              </w:rPr>
              <w:t>人员伤亡</w:t>
            </w:r>
          </w:p>
        </w:tc>
      </w:tr>
      <w:tr w14:paraId="5B9B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92" w:type="dxa"/>
            <w:noWrap w:val="0"/>
            <w:vAlign w:val="center"/>
          </w:tcPr>
          <w:p w14:paraId="2E38F241">
            <w:pPr>
              <w:jc w:val="center"/>
              <w:rPr>
                <w:rFonts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100</w:t>
            </w:r>
          </w:p>
        </w:tc>
        <w:tc>
          <w:tcPr>
            <w:tcW w:w="4050" w:type="dxa"/>
            <w:noWrap w:val="0"/>
            <w:vAlign w:val="center"/>
          </w:tcPr>
          <w:p w14:paraId="158DD4E5">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严重违反法律法规和标准</w:t>
            </w:r>
          </w:p>
        </w:tc>
        <w:tc>
          <w:tcPr>
            <w:tcW w:w="4497" w:type="dxa"/>
            <w:noWrap w:val="0"/>
            <w:vAlign w:val="center"/>
          </w:tcPr>
          <w:p w14:paraId="0A72CB35">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10人以上死亡，或50人以上重伤</w:t>
            </w:r>
          </w:p>
        </w:tc>
      </w:tr>
      <w:tr w14:paraId="2D3BE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92" w:type="dxa"/>
            <w:noWrap w:val="0"/>
            <w:vAlign w:val="center"/>
          </w:tcPr>
          <w:p w14:paraId="11A3E396">
            <w:pPr>
              <w:jc w:val="center"/>
              <w:rPr>
                <w:rFonts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40</w:t>
            </w:r>
          </w:p>
        </w:tc>
        <w:tc>
          <w:tcPr>
            <w:tcW w:w="4050" w:type="dxa"/>
            <w:noWrap w:val="0"/>
            <w:vAlign w:val="center"/>
          </w:tcPr>
          <w:p w14:paraId="1803BE6C">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违反法律法规和标准</w:t>
            </w:r>
          </w:p>
        </w:tc>
        <w:tc>
          <w:tcPr>
            <w:tcW w:w="4497" w:type="dxa"/>
            <w:noWrap w:val="0"/>
            <w:vAlign w:val="center"/>
          </w:tcPr>
          <w:p w14:paraId="5BC433E3">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3人以上10人以下死亡，或10人以上50人以下重伤</w:t>
            </w:r>
          </w:p>
        </w:tc>
      </w:tr>
      <w:tr w14:paraId="5206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92" w:type="dxa"/>
            <w:noWrap w:val="0"/>
            <w:vAlign w:val="center"/>
          </w:tcPr>
          <w:p w14:paraId="6E4A1C62">
            <w:pPr>
              <w:jc w:val="center"/>
              <w:rPr>
                <w:rFonts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15</w:t>
            </w:r>
          </w:p>
        </w:tc>
        <w:tc>
          <w:tcPr>
            <w:tcW w:w="4050" w:type="dxa"/>
            <w:noWrap w:val="0"/>
            <w:vAlign w:val="center"/>
          </w:tcPr>
          <w:p w14:paraId="07224653">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潜在违反法规和标准</w:t>
            </w:r>
          </w:p>
        </w:tc>
        <w:tc>
          <w:tcPr>
            <w:tcW w:w="4497" w:type="dxa"/>
            <w:noWrap w:val="0"/>
            <w:vAlign w:val="center"/>
          </w:tcPr>
          <w:p w14:paraId="3B8B5CE8">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3人以下死亡，或10人以下重伤</w:t>
            </w:r>
          </w:p>
        </w:tc>
      </w:tr>
      <w:tr w14:paraId="23B0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92" w:type="dxa"/>
            <w:noWrap w:val="0"/>
            <w:vAlign w:val="center"/>
          </w:tcPr>
          <w:p w14:paraId="1ED55907">
            <w:pPr>
              <w:jc w:val="center"/>
              <w:rPr>
                <w:rFonts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7</w:t>
            </w:r>
          </w:p>
        </w:tc>
        <w:tc>
          <w:tcPr>
            <w:tcW w:w="4050" w:type="dxa"/>
            <w:noWrap w:val="0"/>
            <w:vAlign w:val="center"/>
          </w:tcPr>
          <w:p w14:paraId="5307F14C">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不符合</w:t>
            </w:r>
            <w:r>
              <w:rPr>
                <w:rFonts w:hint="eastAsia" w:ascii="宋体" w:hAnsi="宋体" w:cs="仿宋_GB2312"/>
                <w:color w:val="000000" w:themeColor="text1"/>
                <w:sz w:val="18"/>
                <w:szCs w:val="18"/>
                <w:lang w:val="en-US" w:eastAsia="zh-CN"/>
                <w14:textFill>
                  <w14:solidFill>
                    <w14:schemeClr w14:val="tx1"/>
                  </w14:solidFill>
                </w14:textFill>
              </w:rPr>
              <w:t>生态环境监测</w:t>
            </w:r>
            <w:r>
              <w:rPr>
                <w:rFonts w:hint="eastAsia" w:ascii="宋体" w:hAnsi="宋体" w:cs="仿宋_GB2312"/>
                <w:color w:val="000000" w:themeColor="text1"/>
                <w:sz w:val="18"/>
                <w:szCs w:val="18"/>
                <w14:textFill>
                  <w14:solidFill>
                    <w14:schemeClr w14:val="tx1"/>
                  </w14:solidFill>
                </w14:textFill>
              </w:rPr>
              <w:t>的安全方针、制度、规定等</w:t>
            </w:r>
          </w:p>
        </w:tc>
        <w:tc>
          <w:tcPr>
            <w:tcW w:w="4497" w:type="dxa"/>
            <w:noWrap w:val="0"/>
            <w:vAlign w:val="center"/>
          </w:tcPr>
          <w:p w14:paraId="1819365E">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丧失劳动力、截肢、骨折、听力丧失、慢性病</w:t>
            </w:r>
          </w:p>
        </w:tc>
      </w:tr>
      <w:tr w14:paraId="6AF3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92" w:type="dxa"/>
            <w:noWrap w:val="0"/>
            <w:vAlign w:val="center"/>
          </w:tcPr>
          <w:p w14:paraId="54A1DBAB">
            <w:pPr>
              <w:jc w:val="center"/>
              <w:rPr>
                <w:rFonts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2</w:t>
            </w:r>
          </w:p>
        </w:tc>
        <w:tc>
          <w:tcPr>
            <w:tcW w:w="4050" w:type="dxa"/>
            <w:noWrap w:val="0"/>
            <w:vAlign w:val="center"/>
          </w:tcPr>
          <w:p w14:paraId="516824C5">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不符合</w:t>
            </w:r>
            <w:r>
              <w:rPr>
                <w:rFonts w:hint="eastAsia" w:ascii="宋体" w:hAnsi="宋体" w:cs="仿宋_GB2312"/>
                <w:color w:val="000000" w:themeColor="text1"/>
                <w:sz w:val="18"/>
                <w:szCs w:val="18"/>
                <w:lang w:val="en-US" w:eastAsia="zh-CN"/>
                <w14:textFill>
                  <w14:solidFill>
                    <w14:schemeClr w14:val="tx1"/>
                  </w14:solidFill>
                </w14:textFill>
              </w:rPr>
              <w:t>生态环境监测</w:t>
            </w:r>
            <w:r>
              <w:rPr>
                <w:rFonts w:hint="eastAsia" w:ascii="宋体" w:hAnsi="宋体" w:cs="仿宋_GB2312"/>
                <w:color w:val="000000" w:themeColor="text1"/>
                <w:sz w:val="18"/>
                <w:szCs w:val="18"/>
                <w14:textFill>
                  <w14:solidFill>
                    <w14:schemeClr w14:val="tx1"/>
                  </w14:solidFill>
                </w14:textFill>
              </w:rPr>
              <w:t>的安全操作程序、规定</w:t>
            </w:r>
          </w:p>
        </w:tc>
        <w:tc>
          <w:tcPr>
            <w:tcW w:w="4497" w:type="dxa"/>
            <w:noWrap w:val="0"/>
            <w:vAlign w:val="center"/>
          </w:tcPr>
          <w:p w14:paraId="37C097FD">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轻微受伤、间歇不舒服</w:t>
            </w:r>
          </w:p>
        </w:tc>
      </w:tr>
      <w:tr w14:paraId="618F4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092" w:type="dxa"/>
            <w:noWrap w:val="0"/>
            <w:vAlign w:val="center"/>
          </w:tcPr>
          <w:p w14:paraId="393AB5B9">
            <w:pPr>
              <w:jc w:val="center"/>
              <w:rPr>
                <w:rFonts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1</w:t>
            </w:r>
          </w:p>
        </w:tc>
        <w:tc>
          <w:tcPr>
            <w:tcW w:w="4050" w:type="dxa"/>
            <w:noWrap w:val="0"/>
            <w:vAlign w:val="center"/>
          </w:tcPr>
          <w:p w14:paraId="08C4C7F4">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完全符合</w:t>
            </w:r>
          </w:p>
        </w:tc>
        <w:tc>
          <w:tcPr>
            <w:tcW w:w="4497" w:type="dxa"/>
            <w:noWrap w:val="0"/>
            <w:vAlign w:val="center"/>
          </w:tcPr>
          <w:p w14:paraId="44B575F5">
            <w:pPr>
              <w:rPr>
                <w:rFonts w:ascii="宋体" w:hAnsi="宋体"/>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无伤亡</w:t>
            </w:r>
          </w:p>
        </w:tc>
      </w:tr>
    </w:tbl>
    <w:p w14:paraId="2B67887F">
      <w:pPr>
        <w:pStyle w:val="79"/>
        <w:numPr>
          <w:ilvl w:val="0"/>
          <w:numId w:val="0"/>
        </w:numPr>
        <w:tabs>
          <w:tab w:val="left" w:pos="180"/>
        </w:tabs>
        <w:spacing w:before="156" w:after="156"/>
      </w:pPr>
      <w:r>
        <w:rPr>
          <w:rFonts w:hint="eastAsia"/>
        </w:rPr>
        <w:t>表</w:t>
      </w:r>
      <w:r>
        <w:rPr>
          <w:rFonts w:hint="eastAsia"/>
          <w:lang w:val="en-US" w:eastAsia="zh-CN"/>
        </w:rPr>
        <w:t>C</w:t>
      </w:r>
      <w:r>
        <w:rPr>
          <w:rFonts w:hint="eastAsia"/>
        </w:rPr>
        <w:t>.4  风险等级判定准则（</w:t>
      </w:r>
      <w:r>
        <w:t>D</w:t>
      </w:r>
      <w:r>
        <w:rPr>
          <w:rFonts w:hint="eastAsia"/>
        </w:rPr>
        <w:t>）及控制措施</w:t>
      </w:r>
    </w:p>
    <w:tbl>
      <w:tblPr>
        <w:tblStyle w:val="14"/>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875"/>
        <w:gridCol w:w="1200"/>
        <w:gridCol w:w="4333"/>
        <w:gridCol w:w="1870"/>
      </w:tblGrid>
      <w:tr w14:paraId="1BEB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40" w:type="dxa"/>
            <w:tcBorders>
              <w:bottom w:val="nil"/>
            </w:tcBorders>
            <w:noWrap w:val="0"/>
            <w:vAlign w:val="center"/>
          </w:tcPr>
          <w:p w14:paraId="365072B4">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风险值</w:t>
            </w:r>
          </w:p>
        </w:tc>
        <w:tc>
          <w:tcPr>
            <w:tcW w:w="2075" w:type="dxa"/>
            <w:gridSpan w:val="2"/>
            <w:noWrap w:val="0"/>
            <w:vAlign w:val="center"/>
          </w:tcPr>
          <w:p w14:paraId="0692B6D7">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风险等级</w:t>
            </w:r>
          </w:p>
        </w:tc>
        <w:tc>
          <w:tcPr>
            <w:tcW w:w="4333" w:type="dxa"/>
            <w:noWrap w:val="0"/>
            <w:vAlign w:val="center"/>
          </w:tcPr>
          <w:p w14:paraId="067DD91E">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应采取的行动/控制措施</w:t>
            </w:r>
          </w:p>
        </w:tc>
        <w:tc>
          <w:tcPr>
            <w:tcW w:w="1870" w:type="dxa"/>
            <w:noWrap w:val="0"/>
            <w:vAlign w:val="center"/>
          </w:tcPr>
          <w:p w14:paraId="2EED0DA7">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实施期限</w:t>
            </w:r>
          </w:p>
        </w:tc>
      </w:tr>
      <w:tr w14:paraId="3920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1340" w:type="dxa"/>
            <w:tcBorders>
              <w:bottom w:val="single" w:color="auto" w:sz="4" w:space="0"/>
            </w:tcBorders>
            <w:shd w:val="clear" w:color="auto" w:fill="FF0000"/>
            <w:noWrap w:val="0"/>
            <w:vAlign w:val="center"/>
          </w:tcPr>
          <w:p w14:paraId="33B1D6D1">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&gt;320</w:t>
            </w:r>
          </w:p>
        </w:tc>
        <w:tc>
          <w:tcPr>
            <w:tcW w:w="875" w:type="dxa"/>
            <w:noWrap w:val="0"/>
            <w:vAlign w:val="center"/>
          </w:tcPr>
          <w:p w14:paraId="12B6A1E0">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1级</w:t>
            </w:r>
          </w:p>
        </w:tc>
        <w:tc>
          <w:tcPr>
            <w:tcW w:w="1200" w:type="dxa"/>
            <w:noWrap w:val="0"/>
            <w:vAlign w:val="center"/>
          </w:tcPr>
          <w:p w14:paraId="4E56899F">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极其危险</w:t>
            </w:r>
          </w:p>
        </w:tc>
        <w:tc>
          <w:tcPr>
            <w:tcW w:w="4333" w:type="dxa"/>
            <w:noWrap w:val="0"/>
            <w:vAlign w:val="center"/>
          </w:tcPr>
          <w:p w14:paraId="711F320A">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在采取措施降低危害前，不能继续作业，对改进措施进行评估</w:t>
            </w:r>
          </w:p>
        </w:tc>
        <w:tc>
          <w:tcPr>
            <w:tcW w:w="1870" w:type="dxa"/>
            <w:noWrap w:val="0"/>
            <w:vAlign w:val="center"/>
          </w:tcPr>
          <w:p w14:paraId="5614C42D">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立刻</w:t>
            </w:r>
          </w:p>
        </w:tc>
      </w:tr>
      <w:tr w14:paraId="70B3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340" w:type="dxa"/>
            <w:tcBorders>
              <w:bottom w:val="single" w:color="auto" w:sz="4" w:space="0"/>
            </w:tcBorders>
            <w:shd w:val="clear" w:color="auto" w:fill="FFC000"/>
            <w:noWrap w:val="0"/>
            <w:vAlign w:val="center"/>
          </w:tcPr>
          <w:p w14:paraId="1F2A73ED">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160～320</w:t>
            </w:r>
          </w:p>
        </w:tc>
        <w:tc>
          <w:tcPr>
            <w:tcW w:w="875" w:type="dxa"/>
            <w:noWrap w:val="0"/>
            <w:vAlign w:val="center"/>
          </w:tcPr>
          <w:p w14:paraId="2B8A8B22">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2级</w:t>
            </w:r>
          </w:p>
        </w:tc>
        <w:tc>
          <w:tcPr>
            <w:tcW w:w="1200" w:type="dxa"/>
            <w:noWrap w:val="0"/>
            <w:vAlign w:val="center"/>
          </w:tcPr>
          <w:p w14:paraId="5D3E4925">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高度危险</w:t>
            </w:r>
          </w:p>
        </w:tc>
        <w:tc>
          <w:tcPr>
            <w:tcW w:w="4333" w:type="dxa"/>
            <w:noWrap w:val="0"/>
            <w:vAlign w:val="center"/>
          </w:tcPr>
          <w:p w14:paraId="35414767">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采取紧急措施降低风险，建立运行控制程序，定期检查、测量及评估</w:t>
            </w:r>
          </w:p>
        </w:tc>
        <w:tc>
          <w:tcPr>
            <w:tcW w:w="1870" w:type="dxa"/>
            <w:noWrap w:val="0"/>
            <w:vAlign w:val="center"/>
          </w:tcPr>
          <w:p w14:paraId="4C308263">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立即或近期整改</w:t>
            </w:r>
          </w:p>
        </w:tc>
      </w:tr>
      <w:tr w14:paraId="4260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340" w:type="dxa"/>
            <w:tcBorders>
              <w:bottom w:val="single" w:color="auto" w:sz="4" w:space="0"/>
            </w:tcBorders>
            <w:shd w:val="clear" w:color="auto" w:fill="FFFF00"/>
            <w:noWrap w:val="0"/>
            <w:vAlign w:val="center"/>
          </w:tcPr>
          <w:p w14:paraId="278B7D6A">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70～160</w:t>
            </w:r>
          </w:p>
        </w:tc>
        <w:tc>
          <w:tcPr>
            <w:tcW w:w="875" w:type="dxa"/>
            <w:noWrap w:val="0"/>
            <w:vAlign w:val="center"/>
          </w:tcPr>
          <w:p w14:paraId="2402DED4">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3级</w:t>
            </w:r>
          </w:p>
        </w:tc>
        <w:tc>
          <w:tcPr>
            <w:tcW w:w="1200" w:type="dxa"/>
            <w:noWrap w:val="0"/>
            <w:vAlign w:val="center"/>
          </w:tcPr>
          <w:p w14:paraId="052AA1EE">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显著危险</w:t>
            </w:r>
          </w:p>
        </w:tc>
        <w:tc>
          <w:tcPr>
            <w:tcW w:w="4333" w:type="dxa"/>
            <w:noWrap w:val="0"/>
            <w:vAlign w:val="center"/>
          </w:tcPr>
          <w:p w14:paraId="505947FF">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可考虑建立目标、建立操作规程，加强培训及沟通</w:t>
            </w:r>
          </w:p>
        </w:tc>
        <w:tc>
          <w:tcPr>
            <w:tcW w:w="1870" w:type="dxa"/>
            <w:noWrap w:val="0"/>
            <w:vAlign w:val="center"/>
          </w:tcPr>
          <w:p w14:paraId="2A85E368">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2年内治理</w:t>
            </w:r>
          </w:p>
        </w:tc>
      </w:tr>
      <w:tr w14:paraId="64CF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340" w:type="dxa"/>
            <w:tcBorders>
              <w:bottom w:val="single" w:color="auto" w:sz="4" w:space="0"/>
            </w:tcBorders>
            <w:shd w:val="clear" w:color="auto" w:fill="00B0F0"/>
            <w:noWrap w:val="0"/>
            <w:vAlign w:val="center"/>
          </w:tcPr>
          <w:p w14:paraId="3FCE7C2E">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&lt;70</w:t>
            </w:r>
          </w:p>
        </w:tc>
        <w:tc>
          <w:tcPr>
            <w:tcW w:w="875" w:type="dxa"/>
            <w:noWrap w:val="0"/>
            <w:vAlign w:val="center"/>
          </w:tcPr>
          <w:p w14:paraId="0CF59EBD">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4级</w:t>
            </w:r>
          </w:p>
        </w:tc>
        <w:tc>
          <w:tcPr>
            <w:tcW w:w="1200" w:type="dxa"/>
            <w:noWrap w:val="0"/>
            <w:vAlign w:val="center"/>
          </w:tcPr>
          <w:p w14:paraId="03B7DE28">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轻度危险</w:t>
            </w:r>
          </w:p>
        </w:tc>
        <w:tc>
          <w:tcPr>
            <w:tcW w:w="4333" w:type="dxa"/>
            <w:noWrap w:val="0"/>
            <w:vAlign w:val="center"/>
          </w:tcPr>
          <w:p w14:paraId="3D25D0B3">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可考虑建立操作规程、作业指导书，但需定期检查</w:t>
            </w:r>
          </w:p>
        </w:tc>
        <w:tc>
          <w:tcPr>
            <w:tcW w:w="1870" w:type="dxa"/>
            <w:noWrap w:val="0"/>
            <w:vAlign w:val="center"/>
          </w:tcPr>
          <w:p w14:paraId="6E6EC3A1">
            <w:pPr>
              <w:jc w:val="center"/>
              <w:rPr>
                <w:rFonts w:hint="eastAsia" w:ascii="宋体" w:hAnsi="宋体" w:cs="仿宋_GB2312"/>
                <w:color w:val="000000" w:themeColor="text1"/>
                <w:sz w:val="18"/>
                <w:szCs w:val="18"/>
                <w14:textFill>
                  <w14:solidFill>
                    <w14:schemeClr w14:val="tx1"/>
                  </w14:solidFill>
                </w14:textFill>
              </w:rPr>
            </w:pPr>
            <w:r>
              <w:rPr>
                <w:rFonts w:hint="eastAsia" w:ascii="宋体" w:hAnsi="宋体" w:cs="仿宋_GB2312"/>
                <w:color w:val="000000" w:themeColor="text1"/>
                <w:sz w:val="18"/>
                <w:szCs w:val="18"/>
                <w14:textFill>
                  <w14:solidFill>
                    <w14:schemeClr w14:val="tx1"/>
                  </w14:solidFill>
                </w14:textFill>
              </w:rPr>
              <w:t>有条件、有经费时治理</w:t>
            </w:r>
          </w:p>
        </w:tc>
      </w:tr>
    </w:tbl>
    <w:p w14:paraId="6DECBACE">
      <w:pPr>
        <w:pStyle w:val="41"/>
        <w:ind w:firstLine="420"/>
        <w:rPr>
          <w:rFonts w:hint="default"/>
          <w:lang w:val="en-US" w:eastAsia="zh-CN"/>
        </w:rPr>
      </w:pPr>
    </w:p>
    <w:p w14:paraId="0BD69DD8">
      <w:pPr>
        <w:pStyle w:val="41"/>
        <w:ind w:firstLine="420"/>
        <w:rPr>
          <w:rFonts w:hint="default"/>
          <w:lang w:val="en-US" w:eastAsia="zh-CN"/>
        </w:rPr>
      </w:pPr>
    </w:p>
    <w:p w14:paraId="6CCD7415">
      <w:pPr>
        <w:pStyle w:val="41"/>
        <w:ind w:firstLine="420"/>
        <w:rPr>
          <w:rFonts w:hint="default"/>
          <w:lang w:val="en-US" w:eastAsia="zh-CN"/>
        </w:rPr>
      </w:pPr>
    </w:p>
    <w:p w14:paraId="13A15902">
      <w:pPr>
        <w:pStyle w:val="41"/>
        <w:ind w:firstLine="420"/>
        <w:rPr>
          <w:rFonts w:hint="default"/>
          <w:lang w:val="en-US" w:eastAsia="zh-CN"/>
        </w:rPr>
      </w:pPr>
    </w:p>
    <w:p w14:paraId="78B2C016">
      <w:pPr>
        <w:pStyle w:val="41"/>
        <w:ind w:firstLine="420"/>
        <w:rPr>
          <w:rFonts w:hint="default"/>
          <w:lang w:val="en-US" w:eastAsia="zh-CN"/>
        </w:rPr>
      </w:pPr>
    </w:p>
    <w:p w14:paraId="6B05CE6B">
      <w:pPr>
        <w:pStyle w:val="41"/>
        <w:ind w:firstLine="420"/>
        <w:rPr>
          <w:rFonts w:hint="default"/>
          <w:lang w:val="en-US" w:eastAsia="zh-CN"/>
        </w:rPr>
      </w:pPr>
    </w:p>
    <w:p w14:paraId="1687E3B9">
      <w:pPr>
        <w:pStyle w:val="41"/>
        <w:ind w:firstLine="420"/>
        <w:rPr>
          <w:rFonts w:hint="default"/>
          <w:lang w:val="en-US" w:eastAsia="zh-CN"/>
        </w:rPr>
      </w:pPr>
    </w:p>
    <w:p w14:paraId="47D4A8EC">
      <w:pPr>
        <w:pStyle w:val="41"/>
        <w:ind w:firstLine="420"/>
        <w:rPr>
          <w:rFonts w:hint="default"/>
          <w:lang w:val="en-US" w:eastAsia="zh-CN"/>
        </w:rPr>
      </w:pPr>
    </w:p>
    <w:p w14:paraId="0827CA65">
      <w:pPr>
        <w:pStyle w:val="41"/>
        <w:ind w:firstLine="420"/>
        <w:rPr>
          <w:rFonts w:hint="default"/>
          <w:lang w:val="en-US" w:eastAsia="zh-CN"/>
        </w:rPr>
      </w:pPr>
    </w:p>
    <w:p w14:paraId="67299559">
      <w:pPr>
        <w:pStyle w:val="41"/>
        <w:ind w:firstLine="420"/>
        <w:rPr>
          <w:rFonts w:hint="default"/>
          <w:lang w:val="en-US" w:eastAsia="zh-CN"/>
        </w:rPr>
      </w:pPr>
    </w:p>
    <w:p w14:paraId="4592867A">
      <w:pPr>
        <w:pStyle w:val="41"/>
        <w:ind w:firstLine="420"/>
        <w:rPr>
          <w:rFonts w:hint="default"/>
          <w:lang w:val="en-US" w:eastAsia="zh-CN"/>
        </w:rPr>
      </w:pPr>
    </w:p>
    <w:p w14:paraId="685922DD">
      <w:pPr>
        <w:pStyle w:val="41"/>
        <w:ind w:firstLine="420"/>
        <w:rPr>
          <w:rFonts w:hint="default"/>
          <w:lang w:val="en-US" w:eastAsia="zh-CN"/>
        </w:rPr>
      </w:pPr>
    </w:p>
    <w:p w14:paraId="4A22F4F1">
      <w:pPr>
        <w:pStyle w:val="41"/>
        <w:ind w:firstLine="420"/>
        <w:rPr>
          <w:rFonts w:hint="default"/>
          <w:lang w:val="en-US" w:eastAsia="zh-CN"/>
        </w:rPr>
      </w:pPr>
    </w:p>
    <w:p w14:paraId="099B3A87">
      <w:pPr>
        <w:pStyle w:val="41"/>
        <w:ind w:firstLine="420"/>
        <w:rPr>
          <w:rFonts w:hint="default"/>
          <w:lang w:val="en-US" w:eastAsia="zh-CN"/>
        </w:rPr>
      </w:pPr>
    </w:p>
    <w:p w14:paraId="6CE44DBB">
      <w:pPr>
        <w:pStyle w:val="41"/>
        <w:ind w:firstLine="420"/>
        <w:rPr>
          <w:rFonts w:hint="default"/>
          <w:lang w:val="en-US" w:eastAsia="zh-CN"/>
        </w:rPr>
      </w:pPr>
    </w:p>
    <w:p w14:paraId="6AB4F16B">
      <w:pPr>
        <w:pStyle w:val="55"/>
        <w:numPr>
          <w:ilvl w:val="0"/>
          <w:numId w:val="0"/>
        </w:numPr>
        <w:tabs>
          <w:tab w:val="left" w:pos="360"/>
        </w:tabs>
      </w:pPr>
      <w:bookmarkStart w:id="227" w:name="_Toc20104"/>
      <w:bookmarkStart w:id="228" w:name="_Toc32628"/>
      <w:bookmarkStart w:id="229" w:name="_Toc2159"/>
      <w:bookmarkStart w:id="230" w:name="_Toc22740"/>
      <w:bookmarkStart w:id="231" w:name="_Toc19798"/>
      <w:bookmarkStart w:id="232" w:name="_Toc1392"/>
      <w:bookmarkStart w:id="233" w:name="_Toc11632"/>
      <w:bookmarkStart w:id="234" w:name="_Toc850"/>
      <w:bookmarkStart w:id="235" w:name="_Toc4908"/>
      <w:bookmarkStart w:id="236" w:name="_Toc25036"/>
      <w:bookmarkStart w:id="237" w:name="_Toc1629"/>
      <w:bookmarkStart w:id="238" w:name="_Toc26699"/>
      <w:bookmarkStart w:id="239" w:name="_Toc8518"/>
      <w:r>
        <w:rPr>
          <w:rFonts w:hint="eastAsia"/>
        </w:rPr>
        <w:t xml:space="preserve">附  录  </w:t>
      </w:r>
      <w:r>
        <w:rPr>
          <w:rFonts w:hint="eastAsia"/>
          <w:lang w:val="en-US" w:eastAsia="zh-CN"/>
        </w:rPr>
        <w:t>D</w:t>
      </w:r>
      <w:r>
        <w:rPr>
          <w:rFonts w:hint="eastAsia"/>
        </w:rPr>
        <w:t xml:space="preserve"> </w:t>
      </w:r>
      <w:r>
        <w:br w:type="textWrapping"/>
      </w:r>
      <w:r>
        <w:rPr>
          <w:rFonts w:hint="eastAsia"/>
        </w:rPr>
        <w:t>（资料性）</w:t>
      </w:r>
      <w:r>
        <w:br w:type="textWrapping"/>
      </w:r>
      <w:r>
        <w:rPr>
          <w:rFonts w:hint="eastAsia"/>
        </w:rPr>
        <w:t>风险矩阵分析法（LS）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2D3DC990">
      <w:pPr>
        <w:pStyle w:val="41"/>
        <w:ind w:firstLine="420"/>
        <w:rPr>
          <w:rFonts w:hint="default" w:eastAsia="宋体"/>
          <w:lang w:val="en-US" w:eastAsia="zh-CN"/>
        </w:rPr>
      </w:pPr>
      <w:r>
        <w:rPr>
          <w:rFonts w:hint="eastAsia"/>
        </w:rPr>
        <w:t>风险矩阵分析法（简称LS），</w:t>
      </w:r>
      <w:r>
        <w:t>R=L</w:t>
      </w:r>
      <w:r>
        <w:rPr>
          <w:rFonts w:hint="eastAsia"/>
        </w:rPr>
        <w:t>×</w:t>
      </w:r>
      <w:r>
        <w:t>S</w:t>
      </w:r>
      <w:r>
        <w:rPr>
          <w:rFonts w:hint="eastAsia"/>
        </w:rPr>
        <w:t>，其中R是风险值，事故发生的可能性与事件后果的结合，L是事故发生的可能性；</w:t>
      </w:r>
      <w:r>
        <w:t>S</w:t>
      </w:r>
      <w:r>
        <w:rPr>
          <w:rFonts w:hint="eastAsia"/>
        </w:rPr>
        <w:t>是事故后果严重性；R值越大，说明该系统危险性大、风险大。</w:t>
      </w:r>
      <w:r>
        <w:rPr>
          <w:rFonts w:hint="eastAsia"/>
          <w:lang w:val="en-US" w:eastAsia="zh-CN"/>
        </w:rPr>
        <w:t>表D.1至表D.4分别给出了</w:t>
      </w:r>
      <w:r>
        <w:rPr>
          <w:rFonts w:hint="eastAsia"/>
        </w:rPr>
        <w:t>事故发生的可能性（</w:t>
      </w:r>
      <w:r>
        <w:t>L</w:t>
      </w:r>
      <w:r>
        <w:rPr>
          <w:rFonts w:hint="eastAsia"/>
        </w:rPr>
        <w:t>）判定准则</w:t>
      </w:r>
      <w:r>
        <w:rPr>
          <w:rFonts w:hint="eastAsia"/>
          <w:lang w:eastAsia="zh-CN"/>
        </w:rPr>
        <w:t>、</w:t>
      </w:r>
      <w:r>
        <w:rPr>
          <w:rFonts w:hint="eastAsia"/>
        </w:rPr>
        <w:t>事件后果严重性（</w:t>
      </w:r>
      <w:r>
        <w:t>S</w:t>
      </w:r>
      <w:r>
        <w:rPr>
          <w:rFonts w:hint="eastAsia"/>
        </w:rPr>
        <w:t>）判定准则</w:t>
      </w:r>
      <w:r>
        <w:rPr>
          <w:rFonts w:hint="eastAsia"/>
          <w:lang w:eastAsia="zh-CN"/>
        </w:rPr>
        <w:t>、</w:t>
      </w:r>
      <w:r>
        <w:rPr>
          <w:rFonts w:hint="eastAsia"/>
        </w:rPr>
        <w:t>安全风险等级判定准则（</w:t>
      </w:r>
      <w:r>
        <w:t>R</w:t>
      </w:r>
      <w:r>
        <w:rPr>
          <w:rFonts w:hint="eastAsia"/>
        </w:rPr>
        <w:t>）及控制措施</w:t>
      </w:r>
      <w:r>
        <w:rPr>
          <w:rFonts w:hint="eastAsia"/>
          <w:lang w:val="en-US" w:eastAsia="zh-CN"/>
        </w:rPr>
        <w:t>和</w:t>
      </w:r>
      <w:r>
        <w:rPr>
          <w:rFonts w:hint="eastAsia"/>
        </w:rPr>
        <w:t>风险矩阵表</w:t>
      </w:r>
      <w:r>
        <w:rPr>
          <w:rFonts w:hint="eastAsia"/>
          <w:lang w:val="en-US" w:eastAsia="zh-CN"/>
        </w:rPr>
        <w:t>。</w:t>
      </w:r>
    </w:p>
    <w:p w14:paraId="5C08E8C9">
      <w:pPr>
        <w:pStyle w:val="79"/>
        <w:widowControl w:val="0"/>
        <w:numPr>
          <w:ilvl w:val="0"/>
          <w:numId w:val="0"/>
        </w:numPr>
        <w:tabs>
          <w:tab w:val="left" w:pos="180"/>
        </w:tabs>
        <w:spacing w:before="156" w:after="156"/>
        <w:textAlignment w:val="auto"/>
      </w:pPr>
      <w:r>
        <w:rPr>
          <w:rFonts w:hint="eastAsia"/>
        </w:rPr>
        <w:t>表</w:t>
      </w:r>
      <w:r>
        <w:rPr>
          <w:rFonts w:hint="eastAsia"/>
          <w:lang w:val="en-US" w:eastAsia="zh-CN"/>
        </w:rPr>
        <w:t>D</w:t>
      </w:r>
      <w:r>
        <w:rPr>
          <w:rFonts w:hint="eastAsia"/>
        </w:rPr>
        <w:t>.1  事故发生的可能性（</w:t>
      </w:r>
      <w:r>
        <w:t>L</w:t>
      </w:r>
      <w:r>
        <w:rPr>
          <w:rFonts w:hint="eastAsia"/>
        </w:rPr>
        <w:t>）判定准则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8450"/>
      </w:tblGrid>
      <w:tr w14:paraId="1AD5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09" w:type="dxa"/>
            <w:noWrap w:val="0"/>
            <w:vAlign w:val="center"/>
          </w:tcPr>
          <w:p w14:paraId="2ECD6AE4">
            <w:pPr>
              <w:autoSpaceDE w:val="0"/>
              <w:autoSpaceDN w:val="0"/>
              <w:adjustRightInd w:val="0"/>
              <w:snapToGrid w:val="0"/>
              <w:jc w:val="center"/>
              <w:rPr>
                <w:rFonts w:ascii="宋体" w:hAnsi="宋体"/>
                <w:sz w:val="18"/>
                <w:szCs w:val="18"/>
              </w:rPr>
            </w:pPr>
            <w:r>
              <w:rPr>
                <w:rFonts w:hint="eastAsia" w:ascii="宋体" w:hAnsi="宋体" w:cs="仿宋_GB2312"/>
                <w:sz w:val="18"/>
                <w:szCs w:val="18"/>
              </w:rPr>
              <w:t>等级</w:t>
            </w:r>
          </w:p>
        </w:tc>
        <w:tc>
          <w:tcPr>
            <w:tcW w:w="8450" w:type="dxa"/>
            <w:noWrap w:val="0"/>
            <w:vAlign w:val="center"/>
          </w:tcPr>
          <w:p w14:paraId="0564A8E2">
            <w:pPr>
              <w:autoSpaceDE w:val="0"/>
              <w:autoSpaceDN w:val="0"/>
              <w:adjustRightInd w:val="0"/>
              <w:snapToGrid w:val="0"/>
              <w:jc w:val="center"/>
              <w:rPr>
                <w:rFonts w:ascii="宋体" w:hAnsi="宋体"/>
                <w:sz w:val="18"/>
                <w:szCs w:val="18"/>
              </w:rPr>
            </w:pPr>
            <w:r>
              <w:rPr>
                <w:rFonts w:hint="eastAsia" w:ascii="宋体" w:hAnsi="宋体" w:cs="仿宋_GB2312"/>
                <w:sz w:val="18"/>
                <w:szCs w:val="18"/>
              </w:rPr>
              <w:t>标准</w:t>
            </w:r>
          </w:p>
        </w:tc>
      </w:tr>
      <w:tr w14:paraId="0027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09" w:type="dxa"/>
            <w:noWrap w:val="0"/>
            <w:vAlign w:val="center"/>
          </w:tcPr>
          <w:p w14:paraId="5173D4FC">
            <w:pPr>
              <w:autoSpaceDE w:val="0"/>
              <w:autoSpaceDN w:val="0"/>
              <w:adjustRightInd w:val="0"/>
              <w:snapToGrid w:val="0"/>
              <w:jc w:val="center"/>
              <w:rPr>
                <w:rFonts w:ascii="宋体" w:hAnsi="宋体"/>
                <w:sz w:val="18"/>
                <w:szCs w:val="18"/>
              </w:rPr>
            </w:pPr>
            <w:r>
              <w:rPr>
                <w:rFonts w:ascii="宋体" w:hAnsi="宋体" w:cs="仿宋_GB2312"/>
                <w:sz w:val="18"/>
                <w:szCs w:val="18"/>
              </w:rPr>
              <w:t>5</w:t>
            </w:r>
          </w:p>
        </w:tc>
        <w:tc>
          <w:tcPr>
            <w:tcW w:w="8450" w:type="dxa"/>
            <w:noWrap w:val="0"/>
            <w:vAlign w:val="center"/>
          </w:tcPr>
          <w:p w14:paraId="4D123A57">
            <w:pPr>
              <w:autoSpaceDE w:val="0"/>
              <w:autoSpaceDN w:val="0"/>
              <w:adjustRightInd w:val="0"/>
              <w:snapToGrid w:val="0"/>
              <w:rPr>
                <w:rFonts w:ascii="宋体" w:hAnsi="宋体"/>
                <w:sz w:val="18"/>
                <w:szCs w:val="18"/>
              </w:rPr>
            </w:pPr>
            <w:r>
              <w:rPr>
                <w:rFonts w:hint="eastAsia" w:ascii="宋体" w:hAnsi="宋体" w:cs="仿宋_GB2312"/>
                <w:sz w:val="18"/>
                <w:szCs w:val="18"/>
              </w:rPr>
              <w:t>在现场没有采取防范、监测、保护、控制措施，或危害的发生不能被发现，或在正常情况下经常发生此类事故或事件。</w:t>
            </w:r>
          </w:p>
        </w:tc>
      </w:tr>
      <w:tr w14:paraId="34DB0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09" w:type="dxa"/>
            <w:noWrap w:val="0"/>
            <w:vAlign w:val="center"/>
          </w:tcPr>
          <w:p w14:paraId="0F7EBE10">
            <w:pPr>
              <w:autoSpaceDE w:val="0"/>
              <w:autoSpaceDN w:val="0"/>
              <w:adjustRightInd w:val="0"/>
              <w:snapToGrid w:val="0"/>
              <w:jc w:val="center"/>
              <w:rPr>
                <w:rFonts w:ascii="宋体" w:hAnsi="宋体" w:cs="仿宋_GB2312"/>
                <w:sz w:val="18"/>
                <w:szCs w:val="18"/>
              </w:rPr>
            </w:pPr>
            <w:r>
              <w:rPr>
                <w:rFonts w:ascii="宋体" w:hAnsi="宋体" w:cs="仿宋_GB2312"/>
                <w:sz w:val="18"/>
                <w:szCs w:val="18"/>
              </w:rPr>
              <w:t>4</w:t>
            </w:r>
          </w:p>
        </w:tc>
        <w:tc>
          <w:tcPr>
            <w:tcW w:w="8450" w:type="dxa"/>
            <w:noWrap w:val="0"/>
            <w:vAlign w:val="center"/>
          </w:tcPr>
          <w:p w14:paraId="5AD6A8A4">
            <w:pPr>
              <w:autoSpaceDE w:val="0"/>
              <w:autoSpaceDN w:val="0"/>
              <w:adjustRightInd w:val="0"/>
              <w:snapToGrid w:val="0"/>
              <w:rPr>
                <w:rFonts w:ascii="宋体" w:hAnsi="宋体"/>
                <w:sz w:val="18"/>
                <w:szCs w:val="18"/>
              </w:rPr>
            </w:pPr>
            <w:r>
              <w:rPr>
                <w:rFonts w:hint="eastAsia" w:ascii="宋体" w:hAnsi="宋体" w:cs="仿宋_GB2312"/>
                <w:sz w:val="18"/>
                <w:szCs w:val="18"/>
              </w:rPr>
              <w:t>危害的发生不容易被发现，现场没有检测系统，也未发生过任何监测，或在现场有控制措施，但未有效执行或控制措施不当，或危害发生或预期情况下发生</w:t>
            </w:r>
          </w:p>
        </w:tc>
      </w:tr>
      <w:tr w14:paraId="44B8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09" w:type="dxa"/>
            <w:noWrap w:val="0"/>
            <w:vAlign w:val="center"/>
          </w:tcPr>
          <w:p w14:paraId="64BF3D9D">
            <w:pPr>
              <w:autoSpaceDE w:val="0"/>
              <w:autoSpaceDN w:val="0"/>
              <w:adjustRightInd w:val="0"/>
              <w:snapToGrid w:val="0"/>
              <w:jc w:val="center"/>
              <w:rPr>
                <w:rFonts w:ascii="宋体" w:hAnsi="宋体" w:cs="仿宋_GB2312"/>
                <w:sz w:val="18"/>
                <w:szCs w:val="18"/>
              </w:rPr>
            </w:pPr>
            <w:r>
              <w:rPr>
                <w:rFonts w:ascii="宋体" w:hAnsi="宋体" w:cs="仿宋_GB2312"/>
                <w:sz w:val="18"/>
                <w:szCs w:val="18"/>
              </w:rPr>
              <w:t>3</w:t>
            </w:r>
          </w:p>
        </w:tc>
        <w:tc>
          <w:tcPr>
            <w:tcW w:w="8450" w:type="dxa"/>
            <w:noWrap w:val="0"/>
            <w:vAlign w:val="center"/>
          </w:tcPr>
          <w:p w14:paraId="07F96F51">
            <w:pPr>
              <w:autoSpaceDE w:val="0"/>
              <w:autoSpaceDN w:val="0"/>
              <w:adjustRightInd w:val="0"/>
              <w:snapToGrid w:val="0"/>
              <w:rPr>
                <w:rFonts w:ascii="宋体" w:hAnsi="宋体"/>
                <w:sz w:val="18"/>
                <w:szCs w:val="18"/>
              </w:rPr>
            </w:pPr>
            <w:r>
              <w:rPr>
                <w:rFonts w:hint="eastAsia" w:ascii="宋体" w:hAnsi="宋体" w:cs="仿宋_GB2312"/>
                <w:sz w:val="18"/>
                <w:szCs w:val="18"/>
              </w:rPr>
              <w:t>没有保护措施（如没有保护装置、没有个人防护用品等），或未严格按操作程序执行，或危害的发生容易被发现，或曾经作过监测，或过去曾经发生类似事故或事件。</w:t>
            </w:r>
          </w:p>
        </w:tc>
      </w:tr>
      <w:tr w14:paraId="2C72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09" w:type="dxa"/>
            <w:noWrap w:val="0"/>
            <w:vAlign w:val="center"/>
          </w:tcPr>
          <w:p w14:paraId="0B838417">
            <w:pPr>
              <w:autoSpaceDE w:val="0"/>
              <w:autoSpaceDN w:val="0"/>
              <w:adjustRightInd w:val="0"/>
              <w:snapToGrid w:val="0"/>
              <w:jc w:val="center"/>
              <w:rPr>
                <w:rFonts w:ascii="宋体" w:hAnsi="宋体" w:cs="仿宋_GB2312"/>
                <w:sz w:val="18"/>
                <w:szCs w:val="18"/>
              </w:rPr>
            </w:pPr>
            <w:r>
              <w:rPr>
                <w:rFonts w:ascii="宋体" w:hAnsi="宋体" w:cs="仿宋_GB2312"/>
                <w:sz w:val="18"/>
                <w:szCs w:val="18"/>
              </w:rPr>
              <w:t>2</w:t>
            </w:r>
          </w:p>
        </w:tc>
        <w:tc>
          <w:tcPr>
            <w:tcW w:w="8450" w:type="dxa"/>
            <w:noWrap w:val="0"/>
            <w:vAlign w:val="center"/>
          </w:tcPr>
          <w:p w14:paraId="0397B953">
            <w:pPr>
              <w:autoSpaceDE w:val="0"/>
              <w:autoSpaceDN w:val="0"/>
              <w:adjustRightInd w:val="0"/>
              <w:snapToGrid w:val="0"/>
              <w:rPr>
                <w:rFonts w:ascii="宋体" w:hAnsi="宋体"/>
                <w:sz w:val="18"/>
                <w:szCs w:val="18"/>
              </w:rPr>
            </w:pPr>
            <w:r>
              <w:rPr>
                <w:rFonts w:hint="eastAsia" w:ascii="宋体" w:hAnsi="宋体" w:cs="仿宋_GB2312"/>
                <w:sz w:val="18"/>
                <w:szCs w:val="18"/>
              </w:rPr>
              <w:t>危害一旦发生能及时发现，并定期进行监测，或现场有防范控制措施，并能有效执行，或过去偶尔发生事故或事件。</w:t>
            </w:r>
          </w:p>
        </w:tc>
      </w:tr>
      <w:tr w14:paraId="289B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009" w:type="dxa"/>
            <w:noWrap w:val="0"/>
            <w:vAlign w:val="center"/>
          </w:tcPr>
          <w:p w14:paraId="1A9F1A02">
            <w:pPr>
              <w:autoSpaceDE w:val="0"/>
              <w:autoSpaceDN w:val="0"/>
              <w:adjustRightInd w:val="0"/>
              <w:snapToGrid w:val="0"/>
              <w:jc w:val="center"/>
              <w:rPr>
                <w:rFonts w:ascii="宋体" w:hAnsi="宋体" w:cs="仿宋_GB2312"/>
                <w:sz w:val="18"/>
                <w:szCs w:val="18"/>
              </w:rPr>
            </w:pPr>
            <w:r>
              <w:rPr>
                <w:rFonts w:ascii="宋体" w:hAnsi="宋体" w:cs="仿宋_GB2312"/>
                <w:sz w:val="18"/>
                <w:szCs w:val="18"/>
              </w:rPr>
              <w:t>1</w:t>
            </w:r>
          </w:p>
        </w:tc>
        <w:tc>
          <w:tcPr>
            <w:tcW w:w="8450" w:type="dxa"/>
            <w:noWrap w:val="0"/>
            <w:vAlign w:val="center"/>
          </w:tcPr>
          <w:p w14:paraId="0488234B">
            <w:pPr>
              <w:autoSpaceDE w:val="0"/>
              <w:autoSpaceDN w:val="0"/>
              <w:adjustRightInd w:val="0"/>
              <w:snapToGrid w:val="0"/>
              <w:rPr>
                <w:rFonts w:ascii="宋体" w:hAnsi="宋体"/>
                <w:sz w:val="18"/>
                <w:szCs w:val="18"/>
              </w:rPr>
            </w:pPr>
            <w:r>
              <w:rPr>
                <w:rFonts w:hint="eastAsia" w:ascii="宋体" w:hAnsi="宋体" w:cs="仿宋_GB2312"/>
                <w:sz w:val="18"/>
                <w:szCs w:val="18"/>
              </w:rPr>
              <w:t>有充分、有效的防范、控制、监测、保护措施，或员工安全卫生意识相当高，严格执行操作规程。极不可能发生事故或事件。</w:t>
            </w:r>
          </w:p>
        </w:tc>
      </w:tr>
    </w:tbl>
    <w:p w14:paraId="193ED61A">
      <w:pPr>
        <w:pStyle w:val="79"/>
        <w:numPr>
          <w:ilvl w:val="0"/>
          <w:numId w:val="0"/>
        </w:numPr>
        <w:tabs>
          <w:tab w:val="left" w:pos="180"/>
        </w:tabs>
        <w:spacing w:before="156" w:after="156"/>
      </w:pPr>
      <w:r>
        <w:rPr>
          <w:rFonts w:hint="eastAsia"/>
        </w:rPr>
        <w:t>表</w:t>
      </w:r>
      <w:r>
        <w:rPr>
          <w:rFonts w:hint="eastAsia"/>
          <w:lang w:val="en-US" w:eastAsia="zh-CN"/>
        </w:rPr>
        <w:t>D</w:t>
      </w:r>
      <w:r>
        <w:rPr>
          <w:rFonts w:hint="eastAsia"/>
        </w:rPr>
        <w:t>.2  事件后果严重性（</w:t>
      </w:r>
      <w:r>
        <w:t>S</w:t>
      </w:r>
      <w:r>
        <w:rPr>
          <w:rFonts w:hint="eastAsia"/>
        </w:rPr>
        <w:t>）判定准则</w:t>
      </w:r>
    </w:p>
    <w:tbl>
      <w:tblPr>
        <w:tblStyle w:val="14"/>
        <w:tblW w:w="49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4007"/>
        <w:gridCol w:w="2992"/>
        <w:gridCol w:w="1412"/>
      </w:tblGrid>
      <w:tr w14:paraId="05ED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25" w:type="pct"/>
            <w:noWrap w:val="0"/>
            <w:vAlign w:val="center"/>
          </w:tcPr>
          <w:p w14:paraId="710EC9AC">
            <w:pPr>
              <w:autoSpaceDE w:val="0"/>
              <w:autoSpaceDN w:val="0"/>
              <w:adjustRightInd w:val="0"/>
              <w:snapToGrid w:val="0"/>
              <w:jc w:val="center"/>
              <w:rPr>
                <w:rFonts w:ascii="宋体" w:hAnsi="宋体"/>
                <w:sz w:val="18"/>
                <w:szCs w:val="18"/>
              </w:rPr>
            </w:pPr>
            <w:r>
              <w:rPr>
                <w:rFonts w:hint="eastAsia" w:ascii="宋体" w:hAnsi="宋体" w:cs="仿宋_GB2312"/>
                <w:sz w:val="18"/>
                <w:szCs w:val="18"/>
              </w:rPr>
              <w:t>等级</w:t>
            </w:r>
          </w:p>
        </w:tc>
        <w:tc>
          <w:tcPr>
            <w:tcW w:w="2131" w:type="pct"/>
            <w:noWrap w:val="0"/>
            <w:vAlign w:val="center"/>
          </w:tcPr>
          <w:p w14:paraId="1EC585F5">
            <w:pPr>
              <w:autoSpaceDE w:val="0"/>
              <w:autoSpaceDN w:val="0"/>
              <w:adjustRightInd w:val="0"/>
              <w:snapToGrid w:val="0"/>
              <w:jc w:val="center"/>
              <w:rPr>
                <w:rFonts w:ascii="宋体" w:hAnsi="宋体" w:cs="仿宋_GB2312"/>
                <w:sz w:val="18"/>
                <w:szCs w:val="18"/>
              </w:rPr>
            </w:pPr>
            <w:r>
              <w:rPr>
                <w:rFonts w:hint="eastAsia" w:ascii="宋体" w:hAnsi="宋体" w:cs="仿宋_GB2312"/>
                <w:sz w:val="18"/>
                <w:szCs w:val="18"/>
              </w:rPr>
              <w:t>法律、法规</w:t>
            </w:r>
          </w:p>
          <w:p w14:paraId="697E2851">
            <w:pPr>
              <w:autoSpaceDE w:val="0"/>
              <w:autoSpaceDN w:val="0"/>
              <w:adjustRightInd w:val="0"/>
              <w:snapToGrid w:val="0"/>
              <w:jc w:val="center"/>
              <w:rPr>
                <w:rFonts w:ascii="宋体" w:hAnsi="宋体"/>
                <w:sz w:val="18"/>
                <w:szCs w:val="18"/>
              </w:rPr>
            </w:pPr>
            <w:r>
              <w:rPr>
                <w:rFonts w:hint="eastAsia" w:ascii="宋体" w:hAnsi="宋体" w:cs="仿宋_GB2312"/>
                <w:sz w:val="18"/>
                <w:szCs w:val="18"/>
              </w:rPr>
              <w:t>及其他要求</w:t>
            </w:r>
          </w:p>
        </w:tc>
        <w:tc>
          <w:tcPr>
            <w:tcW w:w="1591" w:type="pct"/>
            <w:noWrap w:val="0"/>
            <w:vAlign w:val="center"/>
          </w:tcPr>
          <w:p w14:paraId="66F6C3B6">
            <w:pPr>
              <w:autoSpaceDE w:val="0"/>
              <w:autoSpaceDN w:val="0"/>
              <w:adjustRightInd w:val="0"/>
              <w:snapToGrid w:val="0"/>
              <w:jc w:val="center"/>
              <w:rPr>
                <w:rFonts w:ascii="宋体" w:hAnsi="宋体"/>
                <w:sz w:val="18"/>
                <w:szCs w:val="18"/>
              </w:rPr>
            </w:pPr>
            <w:r>
              <w:rPr>
                <w:rFonts w:hint="eastAsia" w:ascii="宋体" w:hAnsi="宋体" w:cs="仿宋_GB2312"/>
                <w:sz w:val="18"/>
                <w:szCs w:val="18"/>
              </w:rPr>
              <w:t>人员</w:t>
            </w:r>
          </w:p>
        </w:tc>
        <w:tc>
          <w:tcPr>
            <w:tcW w:w="751" w:type="pct"/>
            <w:noWrap w:val="0"/>
            <w:vAlign w:val="center"/>
          </w:tcPr>
          <w:p w14:paraId="4AC8317D">
            <w:pPr>
              <w:autoSpaceDE w:val="0"/>
              <w:autoSpaceDN w:val="0"/>
              <w:adjustRightInd w:val="0"/>
              <w:snapToGrid w:val="0"/>
              <w:jc w:val="center"/>
              <w:rPr>
                <w:rFonts w:ascii="宋体" w:hAnsi="宋体"/>
                <w:sz w:val="18"/>
                <w:szCs w:val="18"/>
              </w:rPr>
            </w:pPr>
            <w:r>
              <w:rPr>
                <w:rFonts w:hint="eastAsia" w:ascii="宋体" w:hAnsi="宋体" w:cs="仿宋_GB2312"/>
                <w:sz w:val="18"/>
                <w:szCs w:val="18"/>
              </w:rPr>
              <w:t>直接经济损失</w:t>
            </w:r>
          </w:p>
        </w:tc>
      </w:tr>
      <w:tr w14:paraId="2FCA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25" w:type="pct"/>
            <w:noWrap w:val="0"/>
            <w:vAlign w:val="center"/>
          </w:tcPr>
          <w:p w14:paraId="0DC6311A">
            <w:pPr>
              <w:autoSpaceDE w:val="0"/>
              <w:autoSpaceDN w:val="0"/>
              <w:adjustRightInd w:val="0"/>
              <w:snapToGrid w:val="0"/>
              <w:jc w:val="center"/>
              <w:rPr>
                <w:rFonts w:ascii="宋体" w:hAnsi="宋体" w:cs="仿宋_GB2312"/>
                <w:sz w:val="18"/>
                <w:szCs w:val="18"/>
              </w:rPr>
            </w:pPr>
            <w:r>
              <w:rPr>
                <w:rFonts w:ascii="宋体" w:hAnsi="宋体" w:cs="仿宋_GB2312"/>
                <w:sz w:val="18"/>
                <w:szCs w:val="18"/>
              </w:rPr>
              <w:t>5</w:t>
            </w:r>
          </w:p>
        </w:tc>
        <w:tc>
          <w:tcPr>
            <w:tcW w:w="2131" w:type="pct"/>
            <w:noWrap w:val="0"/>
            <w:vAlign w:val="center"/>
          </w:tcPr>
          <w:p w14:paraId="1565B0D6">
            <w:pPr>
              <w:autoSpaceDE w:val="0"/>
              <w:autoSpaceDN w:val="0"/>
              <w:adjustRightInd w:val="0"/>
              <w:snapToGrid w:val="0"/>
              <w:jc w:val="center"/>
              <w:rPr>
                <w:rFonts w:ascii="宋体" w:hAnsi="宋体"/>
                <w:sz w:val="18"/>
                <w:szCs w:val="18"/>
              </w:rPr>
            </w:pPr>
            <w:r>
              <w:rPr>
                <w:rFonts w:hint="eastAsia" w:ascii="宋体" w:hAnsi="宋体" w:cs="仿宋_GB2312"/>
                <w:sz w:val="18"/>
                <w:szCs w:val="18"/>
              </w:rPr>
              <w:t>违反法律、法规和标准</w:t>
            </w:r>
          </w:p>
        </w:tc>
        <w:tc>
          <w:tcPr>
            <w:tcW w:w="1591" w:type="pct"/>
            <w:noWrap w:val="0"/>
            <w:vAlign w:val="center"/>
          </w:tcPr>
          <w:p w14:paraId="7E2EF2F0">
            <w:pPr>
              <w:autoSpaceDE w:val="0"/>
              <w:autoSpaceDN w:val="0"/>
              <w:adjustRightInd w:val="0"/>
              <w:snapToGrid w:val="0"/>
              <w:jc w:val="center"/>
              <w:rPr>
                <w:rFonts w:ascii="宋体" w:hAnsi="宋体"/>
                <w:sz w:val="18"/>
                <w:szCs w:val="18"/>
              </w:rPr>
            </w:pPr>
            <w:r>
              <w:rPr>
                <w:rFonts w:hint="eastAsia" w:ascii="宋体" w:hAnsi="宋体" w:cs="仿宋_GB2312"/>
                <w:sz w:val="18"/>
                <w:szCs w:val="18"/>
              </w:rPr>
              <w:t>死亡</w:t>
            </w:r>
          </w:p>
        </w:tc>
        <w:tc>
          <w:tcPr>
            <w:tcW w:w="751" w:type="pct"/>
            <w:noWrap w:val="0"/>
            <w:vAlign w:val="center"/>
          </w:tcPr>
          <w:p w14:paraId="7B1BC163">
            <w:pPr>
              <w:autoSpaceDE w:val="0"/>
              <w:autoSpaceDN w:val="0"/>
              <w:adjustRightInd w:val="0"/>
              <w:snapToGrid w:val="0"/>
              <w:jc w:val="center"/>
              <w:rPr>
                <w:rFonts w:ascii="宋体" w:hAnsi="宋体"/>
                <w:sz w:val="18"/>
                <w:szCs w:val="18"/>
              </w:rPr>
            </w:pPr>
            <w:r>
              <w:rPr>
                <w:rFonts w:hint="eastAsia" w:ascii="宋体" w:hAnsi="宋体" w:cs="仿宋_GB2312"/>
                <w:sz w:val="18"/>
                <w:szCs w:val="18"/>
              </w:rPr>
              <w:t>100万元以上</w:t>
            </w:r>
          </w:p>
        </w:tc>
      </w:tr>
      <w:tr w14:paraId="19DE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25" w:type="pct"/>
            <w:noWrap w:val="0"/>
            <w:vAlign w:val="center"/>
          </w:tcPr>
          <w:p w14:paraId="59438942">
            <w:pPr>
              <w:autoSpaceDE w:val="0"/>
              <w:autoSpaceDN w:val="0"/>
              <w:adjustRightInd w:val="0"/>
              <w:snapToGrid w:val="0"/>
              <w:jc w:val="center"/>
              <w:rPr>
                <w:rFonts w:ascii="宋体" w:hAnsi="宋体" w:cs="仿宋_GB2312"/>
                <w:sz w:val="18"/>
                <w:szCs w:val="18"/>
              </w:rPr>
            </w:pPr>
            <w:r>
              <w:rPr>
                <w:rFonts w:ascii="宋体" w:hAnsi="宋体" w:cs="仿宋_GB2312"/>
                <w:sz w:val="18"/>
                <w:szCs w:val="18"/>
              </w:rPr>
              <w:t>4</w:t>
            </w:r>
          </w:p>
        </w:tc>
        <w:tc>
          <w:tcPr>
            <w:tcW w:w="2131" w:type="pct"/>
            <w:noWrap w:val="0"/>
            <w:vAlign w:val="center"/>
          </w:tcPr>
          <w:p w14:paraId="0B66C9CF">
            <w:pPr>
              <w:autoSpaceDE w:val="0"/>
              <w:autoSpaceDN w:val="0"/>
              <w:adjustRightInd w:val="0"/>
              <w:snapToGrid w:val="0"/>
              <w:jc w:val="center"/>
              <w:rPr>
                <w:rFonts w:ascii="宋体" w:hAnsi="宋体"/>
                <w:sz w:val="18"/>
                <w:szCs w:val="18"/>
              </w:rPr>
            </w:pPr>
            <w:r>
              <w:rPr>
                <w:rFonts w:hint="eastAsia" w:ascii="宋体" w:hAnsi="宋体" w:cs="仿宋_GB2312"/>
                <w:sz w:val="18"/>
                <w:szCs w:val="18"/>
              </w:rPr>
              <w:t>潜在违反法规和标准</w:t>
            </w:r>
          </w:p>
        </w:tc>
        <w:tc>
          <w:tcPr>
            <w:tcW w:w="1591" w:type="pct"/>
            <w:noWrap w:val="0"/>
            <w:vAlign w:val="center"/>
          </w:tcPr>
          <w:p w14:paraId="7D8BE610">
            <w:pPr>
              <w:autoSpaceDE w:val="0"/>
              <w:autoSpaceDN w:val="0"/>
              <w:adjustRightInd w:val="0"/>
              <w:snapToGrid w:val="0"/>
              <w:jc w:val="center"/>
              <w:rPr>
                <w:rFonts w:ascii="宋体" w:hAnsi="宋体"/>
                <w:sz w:val="18"/>
                <w:szCs w:val="18"/>
              </w:rPr>
            </w:pPr>
            <w:r>
              <w:rPr>
                <w:rFonts w:hint="eastAsia" w:ascii="宋体" w:hAnsi="宋体" w:cs="仿宋_GB2312"/>
                <w:sz w:val="18"/>
                <w:szCs w:val="18"/>
              </w:rPr>
              <w:t>丧失劳动能力</w:t>
            </w:r>
          </w:p>
        </w:tc>
        <w:tc>
          <w:tcPr>
            <w:tcW w:w="751" w:type="pct"/>
            <w:noWrap w:val="0"/>
            <w:vAlign w:val="center"/>
          </w:tcPr>
          <w:p w14:paraId="7CAF3FCB">
            <w:pPr>
              <w:autoSpaceDE w:val="0"/>
              <w:autoSpaceDN w:val="0"/>
              <w:adjustRightInd w:val="0"/>
              <w:snapToGrid w:val="0"/>
              <w:jc w:val="center"/>
              <w:rPr>
                <w:rFonts w:ascii="宋体" w:hAnsi="宋体"/>
                <w:sz w:val="18"/>
                <w:szCs w:val="18"/>
              </w:rPr>
            </w:pPr>
            <w:r>
              <w:rPr>
                <w:rFonts w:hint="eastAsia" w:ascii="宋体" w:hAnsi="宋体" w:cs="仿宋_GB2312"/>
                <w:sz w:val="18"/>
                <w:szCs w:val="18"/>
              </w:rPr>
              <w:t>50万元以上</w:t>
            </w:r>
          </w:p>
        </w:tc>
      </w:tr>
      <w:tr w14:paraId="290E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25" w:type="pct"/>
            <w:noWrap w:val="0"/>
            <w:vAlign w:val="center"/>
          </w:tcPr>
          <w:p w14:paraId="198C3301">
            <w:pPr>
              <w:autoSpaceDE w:val="0"/>
              <w:autoSpaceDN w:val="0"/>
              <w:adjustRightInd w:val="0"/>
              <w:snapToGrid w:val="0"/>
              <w:jc w:val="center"/>
              <w:rPr>
                <w:rFonts w:ascii="宋体" w:hAnsi="宋体" w:cs="仿宋_GB2312"/>
                <w:sz w:val="18"/>
                <w:szCs w:val="18"/>
              </w:rPr>
            </w:pPr>
            <w:r>
              <w:rPr>
                <w:rFonts w:ascii="宋体" w:hAnsi="宋体" w:cs="仿宋_GB2312"/>
                <w:sz w:val="18"/>
                <w:szCs w:val="18"/>
              </w:rPr>
              <w:t>3</w:t>
            </w:r>
          </w:p>
        </w:tc>
        <w:tc>
          <w:tcPr>
            <w:tcW w:w="2131" w:type="pct"/>
            <w:noWrap w:val="0"/>
            <w:vAlign w:val="center"/>
          </w:tcPr>
          <w:p w14:paraId="161EA285">
            <w:pPr>
              <w:autoSpaceDE w:val="0"/>
              <w:autoSpaceDN w:val="0"/>
              <w:adjustRightInd w:val="0"/>
              <w:snapToGrid w:val="0"/>
              <w:jc w:val="center"/>
              <w:rPr>
                <w:rFonts w:ascii="宋体" w:hAnsi="宋体"/>
                <w:sz w:val="18"/>
                <w:szCs w:val="18"/>
              </w:rPr>
            </w:pPr>
            <w:r>
              <w:rPr>
                <w:rFonts w:hint="eastAsia" w:ascii="宋体" w:hAnsi="宋体" w:cs="仿宋_GB2312"/>
                <w:sz w:val="18"/>
                <w:szCs w:val="18"/>
              </w:rPr>
              <w:t>不符合</w:t>
            </w:r>
            <w:r>
              <w:rPr>
                <w:rFonts w:hint="eastAsia" w:ascii="宋体" w:hAnsi="宋体" w:cs="仿宋_GB2312"/>
                <w:sz w:val="18"/>
                <w:szCs w:val="18"/>
                <w:lang w:val="en-US" w:eastAsia="zh-CN"/>
              </w:rPr>
              <w:t>生态环境监测</w:t>
            </w:r>
            <w:r>
              <w:rPr>
                <w:rFonts w:hint="eastAsia" w:ascii="宋体" w:hAnsi="宋体" w:cs="仿宋_GB2312"/>
                <w:sz w:val="18"/>
                <w:szCs w:val="18"/>
              </w:rPr>
              <w:t>的安全方针、制度、规定等</w:t>
            </w:r>
          </w:p>
        </w:tc>
        <w:tc>
          <w:tcPr>
            <w:tcW w:w="1591" w:type="pct"/>
            <w:noWrap w:val="0"/>
            <w:vAlign w:val="center"/>
          </w:tcPr>
          <w:p w14:paraId="5FBC2CD0">
            <w:pPr>
              <w:autoSpaceDE w:val="0"/>
              <w:autoSpaceDN w:val="0"/>
              <w:adjustRightInd w:val="0"/>
              <w:snapToGrid w:val="0"/>
              <w:jc w:val="center"/>
              <w:rPr>
                <w:rFonts w:ascii="宋体" w:hAnsi="宋体"/>
                <w:sz w:val="18"/>
                <w:szCs w:val="18"/>
              </w:rPr>
            </w:pPr>
            <w:r>
              <w:rPr>
                <w:rFonts w:hint="eastAsia" w:ascii="宋体" w:hAnsi="宋体" w:cs="仿宋_GB2312"/>
                <w:sz w:val="18"/>
                <w:szCs w:val="18"/>
              </w:rPr>
              <w:t>截肢、骨折、听力丧失、慢性病</w:t>
            </w:r>
          </w:p>
        </w:tc>
        <w:tc>
          <w:tcPr>
            <w:tcW w:w="751" w:type="pct"/>
            <w:noWrap w:val="0"/>
            <w:vAlign w:val="center"/>
          </w:tcPr>
          <w:p w14:paraId="1C2A87BD">
            <w:pPr>
              <w:autoSpaceDE w:val="0"/>
              <w:autoSpaceDN w:val="0"/>
              <w:adjustRightInd w:val="0"/>
              <w:snapToGrid w:val="0"/>
              <w:jc w:val="center"/>
              <w:rPr>
                <w:rFonts w:ascii="宋体" w:hAnsi="宋体"/>
                <w:sz w:val="18"/>
                <w:szCs w:val="18"/>
              </w:rPr>
            </w:pPr>
            <w:r>
              <w:rPr>
                <w:rFonts w:hint="eastAsia" w:ascii="宋体" w:hAnsi="宋体" w:cs="仿宋_GB2312"/>
                <w:sz w:val="18"/>
                <w:szCs w:val="18"/>
              </w:rPr>
              <w:t>1万元以上</w:t>
            </w:r>
          </w:p>
        </w:tc>
      </w:tr>
      <w:tr w14:paraId="1554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25" w:type="pct"/>
            <w:noWrap w:val="0"/>
            <w:vAlign w:val="center"/>
          </w:tcPr>
          <w:p w14:paraId="63446072">
            <w:pPr>
              <w:autoSpaceDE w:val="0"/>
              <w:autoSpaceDN w:val="0"/>
              <w:adjustRightInd w:val="0"/>
              <w:snapToGrid w:val="0"/>
              <w:jc w:val="center"/>
              <w:rPr>
                <w:rFonts w:ascii="宋体" w:hAnsi="宋体" w:cs="仿宋_GB2312"/>
                <w:sz w:val="18"/>
                <w:szCs w:val="18"/>
              </w:rPr>
            </w:pPr>
            <w:r>
              <w:rPr>
                <w:rFonts w:ascii="宋体" w:hAnsi="宋体" w:cs="仿宋_GB2312"/>
                <w:sz w:val="18"/>
                <w:szCs w:val="18"/>
              </w:rPr>
              <w:t>2</w:t>
            </w:r>
          </w:p>
        </w:tc>
        <w:tc>
          <w:tcPr>
            <w:tcW w:w="2131" w:type="pct"/>
            <w:noWrap w:val="0"/>
            <w:vAlign w:val="center"/>
          </w:tcPr>
          <w:p w14:paraId="59AE6482">
            <w:pPr>
              <w:autoSpaceDE w:val="0"/>
              <w:autoSpaceDN w:val="0"/>
              <w:adjustRightInd w:val="0"/>
              <w:snapToGrid w:val="0"/>
              <w:jc w:val="center"/>
              <w:rPr>
                <w:rFonts w:ascii="宋体" w:hAnsi="宋体"/>
                <w:sz w:val="18"/>
                <w:szCs w:val="18"/>
              </w:rPr>
            </w:pPr>
            <w:r>
              <w:rPr>
                <w:rFonts w:hint="eastAsia" w:ascii="宋体" w:hAnsi="宋体" w:cs="仿宋_GB2312"/>
                <w:sz w:val="18"/>
                <w:szCs w:val="18"/>
              </w:rPr>
              <w:t>不符合</w:t>
            </w:r>
            <w:r>
              <w:rPr>
                <w:rFonts w:hint="eastAsia" w:ascii="宋体" w:hAnsi="宋体" w:cs="仿宋_GB2312"/>
                <w:sz w:val="18"/>
                <w:szCs w:val="18"/>
                <w:lang w:val="en-US" w:eastAsia="zh-CN"/>
              </w:rPr>
              <w:t>生态环境监测</w:t>
            </w:r>
            <w:r>
              <w:rPr>
                <w:rFonts w:hint="eastAsia" w:ascii="宋体" w:hAnsi="宋体" w:cs="仿宋_GB2312"/>
                <w:sz w:val="18"/>
                <w:szCs w:val="18"/>
              </w:rPr>
              <w:t>的安全操作程序、规定</w:t>
            </w:r>
          </w:p>
        </w:tc>
        <w:tc>
          <w:tcPr>
            <w:tcW w:w="1591" w:type="pct"/>
            <w:noWrap w:val="0"/>
            <w:vAlign w:val="center"/>
          </w:tcPr>
          <w:p w14:paraId="4FF8D1CD">
            <w:pPr>
              <w:autoSpaceDE w:val="0"/>
              <w:autoSpaceDN w:val="0"/>
              <w:adjustRightInd w:val="0"/>
              <w:snapToGrid w:val="0"/>
              <w:jc w:val="center"/>
              <w:rPr>
                <w:rFonts w:ascii="宋体" w:hAnsi="宋体"/>
                <w:sz w:val="18"/>
                <w:szCs w:val="18"/>
              </w:rPr>
            </w:pPr>
            <w:r>
              <w:rPr>
                <w:rFonts w:hint="eastAsia" w:ascii="宋体" w:hAnsi="宋体" w:cs="仿宋_GB2312"/>
                <w:sz w:val="18"/>
                <w:szCs w:val="18"/>
              </w:rPr>
              <w:t>轻微受伤、间歇不舒服</w:t>
            </w:r>
          </w:p>
        </w:tc>
        <w:tc>
          <w:tcPr>
            <w:tcW w:w="751" w:type="pct"/>
            <w:noWrap w:val="0"/>
            <w:vAlign w:val="center"/>
          </w:tcPr>
          <w:p w14:paraId="30C4F887">
            <w:pPr>
              <w:autoSpaceDE w:val="0"/>
              <w:autoSpaceDN w:val="0"/>
              <w:adjustRightInd w:val="0"/>
              <w:snapToGrid w:val="0"/>
              <w:jc w:val="center"/>
              <w:rPr>
                <w:rFonts w:ascii="宋体" w:hAnsi="宋体"/>
                <w:sz w:val="18"/>
                <w:szCs w:val="18"/>
              </w:rPr>
            </w:pPr>
            <w:r>
              <w:rPr>
                <w:rFonts w:ascii="宋体" w:hAnsi="宋体" w:cs="仿宋_GB2312"/>
                <w:sz w:val="18"/>
                <w:szCs w:val="18"/>
              </w:rPr>
              <w:t>1</w:t>
            </w:r>
            <w:r>
              <w:rPr>
                <w:rFonts w:hint="eastAsia" w:ascii="宋体" w:hAnsi="宋体" w:cs="仿宋_GB2312"/>
                <w:sz w:val="18"/>
                <w:szCs w:val="18"/>
              </w:rPr>
              <w:t>万元以下</w:t>
            </w:r>
          </w:p>
        </w:tc>
      </w:tr>
      <w:tr w14:paraId="323A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525" w:type="pct"/>
            <w:noWrap w:val="0"/>
            <w:vAlign w:val="center"/>
          </w:tcPr>
          <w:p w14:paraId="4F10028D">
            <w:pPr>
              <w:autoSpaceDE w:val="0"/>
              <w:autoSpaceDN w:val="0"/>
              <w:adjustRightInd w:val="0"/>
              <w:snapToGrid w:val="0"/>
              <w:jc w:val="center"/>
              <w:rPr>
                <w:rFonts w:ascii="宋体" w:hAnsi="宋体" w:cs="仿宋_GB2312"/>
                <w:sz w:val="18"/>
                <w:szCs w:val="18"/>
              </w:rPr>
            </w:pPr>
            <w:r>
              <w:rPr>
                <w:rFonts w:ascii="宋体" w:hAnsi="宋体" w:cs="仿宋_GB2312"/>
                <w:sz w:val="18"/>
                <w:szCs w:val="18"/>
              </w:rPr>
              <w:t>1</w:t>
            </w:r>
          </w:p>
        </w:tc>
        <w:tc>
          <w:tcPr>
            <w:tcW w:w="2131" w:type="pct"/>
            <w:noWrap w:val="0"/>
            <w:vAlign w:val="center"/>
          </w:tcPr>
          <w:p w14:paraId="5113185D">
            <w:pPr>
              <w:autoSpaceDE w:val="0"/>
              <w:autoSpaceDN w:val="0"/>
              <w:adjustRightInd w:val="0"/>
              <w:snapToGrid w:val="0"/>
              <w:jc w:val="center"/>
              <w:rPr>
                <w:rFonts w:ascii="宋体" w:hAnsi="宋体"/>
                <w:sz w:val="18"/>
                <w:szCs w:val="18"/>
              </w:rPr>
            </w:pPr>
            <w:r>
              <w:rPr>
                <w:rFonts w:hint="eastAsia" w:ascii="宋体" w:hAnsi="宋体" w:cs="仿宋_GB2312"/>
                <w:sz w:val="18"/>
                <w:szCs w:val="18"/>
              </w:rPr>
              <w:t>完全符合</w:t>
            </w:r>
          </w:p>
        </w:tc>
        <w:tc>
          <w:tcPr>
            <w:tcW w:w="1591" w:type="pct"/>
            <w:noWrap w:val="0"/>
            <w:vAlign w:val="center"/>
          </w:tcPr>
          <w:p w14:paraId="380298A3">
            <w:pPr>
              <w:autoSpaceDE w:val="0"/>
              <w:autoSpaceDN w:val="0"/>
              <w:adjustRightInd w:val="0"/>
              <w:snapToGrid w:val="0"/>
              <w:jc w:val="center"/>
              <w:rPr>
                <w:rFonts w:ascii="宋体" w:hAnsi="宋体"/>
                <w:sz w:val="18"/>
                <w:szCs w:val="18"/>
              </w:rPr>
            </w:pPr>
            <w:r>
              <w:rPr>
                <w:rFonts w:hint="eastAsia" w:ascii="宋体" w:hAnsi="宋体" w:cs="仿宋_GB2312"/>
                <w:sz w:val="18"/>
                <w:szCs w:val="18"/>
              </w:rPr>
              <w:t>无伤亡</w:t>
            </w:r>
          </w:p>
        </w:tc>
        <w:tc>
          <w:tcPr>
            <w:tcW w:w="751" w:type="pct"/>
            <w:noWrap w:val="0"/>
            <w:vAlign w:val="center"/>
          </w:tcPr>
          <w:p w14:paraId="208EC15D">
            <w:pPr>
              <w:autoSpaceDE w:val="0"/>
              <w:autoSpaceDN w:val="0"/>
              <w:adjustRightInd w:val="0"/>
              <w:snapToGrid w:val="0"/>
              <w:jc w:val="center"/>
              <w:rPr>
                <w:rFonts w:ascii="宋体" w:hAnsi="宋体"/>
                <w:sz w:val="18"/>
                <w:szCs w:val="18"/>
              </w:rPr>
            </w:pPr>
            <w:r>
              <w:rPr>
                <w:rFonts w:hint="eastAsia" w:ascii="宋体" w:hAnsi="宋体" w:cs="仿宋_GB2312"/>
                <w:sz w:val="18"/>
                <w:szCs w:val="18"/>
              </w:rPr>
              <w:t>无损失</w:t>
            </w:r>
          </w:p>
        </w:tc>
      </w:tr>
    </w:tbl>
    <w:p w14:paraId="0F7E515F">
      <w:pPr>
        <w:pStyle w:val="79"/>
        <w:numPr>
          <w:ilvl w:val="0"/>
          <w:numId w:val="0"/>
        </w:numPr>
        <w:tabs>
          <w:tab w:val="left" w:pos="180"/>
        </w:tabs>
        <w:spacing w:before="156" w:after="156"/>
        <w:rPr>
          <w:rFonts w:hint="eastAsia"/>
        </w:rPr>
        <w:sectPr>
          <w:pgSz w:w="11900" w:h="16840"/>
          <w:pgMar w:top="561" w:right="1134" w:bottom="561" w:left="1418" w:header="1418" w:footer="720" w:gutter="0"/>
          <w:pgNumType w:fmt="decimal"/>
          <w:cols w:space="720" w:num="1"/>
          <w:docGrid w:linePitch="286" w:charSpace="0"/>
        </w:sectPr>
      </w:pPr>
    </w:p>
    <w:p w14:paraId="3379BCC1">
      <w:pPr>
        <w:pStyle w:val="79"/>
        <w:numPr>
          <w:ilvl w:val="0"/>
          <w:numId w:val="0"/>
        </w:numPr>
        <w:tabs>
          <w:tab w:val="left" w:pos="180"/>
        </w:tabs>
        <w:spacing w:before="156" w:after="156"/>
      </w:pPr>
      <w:r>
        <w:rPr>
          <w:rFonts w:hint="eastAsia"/>
        </w:rPr>
        <w:t>表</w:t>
      </w:r>
      <w:r>
        <w:rPr>
          <w:rFonts w:hint="eastAsia"/>
          <w:lang w:val="en-US" w:eastAsia="zh-CN"/>
        </w:rPr>
        <w:t>D</w:t>
      </w:r>
      <w:r>
        <w:rPr>
          <w:rFonts w:hint="eastAsia"/>
        </w:rPr>
        <w:t>.3  安全风险等级判定准则（</w:t>
      </w:r>
      <w:r>
        <w:t>R</w:t>
      </w:r>
      <w:r>
        <w:rPr>
          <w:rFonts w:hint="eastAsia"/>
        </w:rPr>
        <w:t>）及控制措施</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758"/>
        <w:gridCol w:w="1109"/>
        <w:gridCol w:w="3990"/>
        <w:gridCol w:w="2136"/>
      </w:tblGrid>
      <w:tr w14:paraId="2F0D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45" w:type="dxa"/>
            <w:tcBorders>
              <w:bottom w:val="single" w:color="auto" w:sz="4" w:space="0"/>
            </w:tcBorders>
            <w:noWrap w:val="0"/>
            <w:vAlign w:val="center"/>
          </w:tcPr>
          <w:p w14:paraId="3E549E88">
            <w:pPr>
              <w:autoSpaceDE w:val="0"/>
              <w:autoSpaceDN w:val="0"/>
              <w:adjustRightInd w:val="0"/>
              <w:snapToGrid w:val="0"/>
              <w:jc w:val="center"/>
              <w:rPr>
                <w:rFonts w:ascii="宋体" w:hAnsi="宋体"/>
                <w:sz w:val="18"/>
                <w:szCs w:val="18"/>
              </w:rPr>
            </w:pPr>
            <w:r>
              <w:rPr>
                <w:rFonts w:hint="eastAsia" w:ascii="宋体" w:hAnsi="宋体" w:cs="仿宋_GB2312"/>
                <w:sz w:val="18"/>
                <w:szCs w:val="18"/>
              </w:rPr>
              <w:t>风险值</w:t>
            </w:r>
          </w:p>
        </w:tc>
        <w:tc>
          <w:tcPr>
            <w:tcW w:w="1867" w:type="dxa"/>
            <w:gridSpan w:val="2"/>
            <w:noWrap w:val="0"/>
            <w:vAlign w:val="center"/>
          </w:tcPr>
          <w:p w14:paraId="427384A4">
            <w:pPr>
              <w:autoSpaceDE w:val="0"/>
              <w:autoSpaceDN w:val="0"/>
              <w:adjustRightInd w:val="0"/>
              <w:snapToGrid w:val="0"/>
              <w:jc w:val="center"/>
              <w:rPr>
                <w:rFonts w:ascii="宋体" w:hAnsi="宋体"/>
                <w:sz w:val="18"/>
                <w:szCs w:val="18"/>
              </w:rPr>
            </w:pPr>
            <w:r>
              <w:rPr>
                <w:rFonts w:hint="eastAsia" w:ascii="宋体" w:hAnsi="宋体" w:cs="仿宋_GB2312"/>
                <w:sz w:val="18"/>
                <w:szCs w:val="18"/>
              </w:rPr>
              <w:t>风险等级</w:t>
            </w:r>
          </w:p>
        </w:tc>
        <w:tc>
          <w:tcPr>
            <w:tcW w:w="3990" w:type="dxa"/>
            <w:noWrap w:val="0"/>
            <w:vAlign w:val="center"/>
          </w:tcPr>
          <w:p w14:paraId="181747FF">
            <w:pPr>
              <w:autoSpaceDE w:val="0"/>
              <w:autoSpaceDN w:val="0"/>
              <w:adjustRightInd w:val="0"/>
              <w:snapToGrid w:val="0"/>
              <w:jc w:val="center"/>
              <w:rPr>
                <w:rFonts w:ascii="宋体" w:hAnsi="宋体"/>
                <w:sz w:val="18"/>
                <w:szCs w:val="18"/>
              </w:rPr>
            </w:pPr>
            <w:r>
              <w:rPr>
                <w:rFonts w:hint="eastAsia" w:ascii="宋体" w:hAnsi="宋体" w:cs="仿宋_GB2312"/>
                <w:sz w:val="18"/>
                <w:szCs w:val="18"/>
              </w:rPr>
              <w:t>应采取的行动</w:t>
            </w:r>
            <w:r>
              <w:rPr>
                <w:rFonts w:ascii="宋体" w:hAnsi="宋体" w:cs="仿宋_GB2312"/>
                <w:sz w:val="18"/>
                <w:szCs w:val="18"/>
              </w:rPr>
              <w:t>/</w:t>
            </w:r>
            <w:r>
              <w:rPr>
                <w:rFonts w:hint="eastAsia" w:ascii="宋体" w:hAnsi="宋体" w:cs="仿宋_GB2312"/>
                <w:sz w:val="18"/>
                <w:szCs w:val="18"/>
              </w:rPr>
              <w:t>控制措施</w:t>
            </w:r>
          </w:p>
        </w:tc>
        <w:tc>
          <w:tcPr>
            <w:tcW w:w="2136" w:type="dxa"/>
            <w:noWrap w:val="0"/>
            <w:vAlign w:val="center"/>
          </w:tcPr>
          <w:p w14:paraId="7F1676BF">
            <w:pPr>
              <w:autoSpaceDE w:val="0"/>
              <w:autoSpaceDN w:val="0"/>
              <w:adjustRightInd w:val="0"/>
              <w:snapToGrid w:val="0"/>
              <w:jc w:val="center"/>
              <w:rPr>
                <w:rFonts w:ascii="宋体" w:hAnsi="宋体"/>
                <w:sz w:val="18"/>
                <w:szCs w:val="18"/>
              </w:rPr>
            </w:pPr>
            <w:r>
              <w:rPr>
                <w:rFonts w:hint="eastAsia" w:ascii="宋体" w:hAnsi="宋体" w:cs="仿宋_GB2312"/>
                <w:sz w:val="18"/>
                <w:szCs w:val="18"/>
              </w:rPr>
              <w:t>实施期限</w:t>
            </w:r>
          </w:p>
        </w:tc>
      </w:tr>
      <w:tr w14:paraId="6DFF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45" w:type="dxa"/>
            <w:tcBorders>
              <w:bottom w:val="single" w:color="auto" w:sz="4" w:space="0"/>
            </w:tcBorders>
            <w:shd w:val="clear" w:color="auto" w:fill="FF0000"/>
            <w:noWrap w:val="0"/>
            <w:vAlign w:val="center"/>
          </w:tcPr>
          <w:p w14:paraId="6BECFD62">
            <w:pPr>
              <w:autoSpaceDE w:val="0"/>
              <w:autoSpaceDN w:val="0"/>
              <w:adjustRightInd w:val="0"/>
              <w:snapToGrid w:val="0"/>
              <w:jc w:val="center"/>
              <w:rPr>
                <w:rFonts w:ascii="宋体" w:hAnsi="宋体"/>
                <w:sz w:val="18"/>
                <w:szCs w:val="18"/>
              </w:rPr>
            </w:pPr>
            <w:r>
              <w:rPr>
                <w:rFonts w:ascii="宋体" w:hAnsi="宋体" w:cs="仿宋_GB2312"/>
                <w:sz w:val="18"/>
                <w:szCs w:val="18"/>
              </w:rPr>
              <w:t>20-25</w:t>
            </w:r>
          </w:p>
        </w:tc>
        <w:tc>
          <w:tcPr>
            <w:tcW w:w="758" w:type="dxa"/>
            <w:noWrap w:val="0"/>
            <w:vAlign w:val="center"/>
          </w:tcPr>
          <w:p w14:paraId="1497496F">
            <w:pPr>
              <w:autoSpaceDE w:val="0"/>
              <w:autoSpaceDN w:val="0"/>
              <w:adjustRightInd w:val="0"/>
              <w:snapToGrid w:val="0"/>
              <w:jc w:val="center"/>
              <w:rPr>
                <w:rFonts w:ascii="宋体" w:hAnsi="宋体"/>
                <w:sz w:val="18"/>
                <w:szCs w:val="18"/>
              </w:rPr>
            </w:pPr>
            <w:r>
              <w:rPr>
                <w:rFonts w:hint="eastAsia" w:ascii="宋体" w:hAnsi="宋体" w:cs="仿宋_GB2312"/>
                <w:sz w:val="18"/>
                <w:szCs w:val="18"/>
              </w:rPr>
              <w:t>A/</w:t>
            </w:r>
            <w:r>
              <w:rPr>
                <w:rFonts w:ascii="宋体" w:hAnsi="宋体" w:cs="仿宋_GB2312"/>
                <w:sz w:val="18"/>
                <w:szCs w:val="18"/>
              </w:rPr>
              <w:t>1</w:t>
            </w:r>
            <w:r>
              <w:rPr>
                <w:rFonts w:hint="eastAsia" w:ascii="宋体" w:hAnsi="宋体" w:cs="仿宋_GB2312"/>
                <w:sz w:val="18"/>
                <w:szCs w:val="18"/>
              </w:rPr>
              <w:t>级</w:t>
            </w:r>
          </w:p>
        </w:tc>
        <w:tc>
          <w:tcPr>
            <w:tcW w:w="1109" w:type="dxa"/>
            <w:noWrap w:val="0"/>
            <w:vAlign w:val="center"/>
          </w:tcPr>
          <w:p w14:paraId="28BCA1EE">
            <w:pPr>
              <w:autoSpaceDE w:val="0"/>
              <w:autoSpaceDN w:val="0"/>
              <w:adjustRightInd w:val="0"/>
              <w:snapToGrid w:val="0"/>
              <w:jc w:val="center"/>
              <w:rPr>
                <w:rFonts w:ascii="宋体" w:hAnsi="宋体"/>
                <w:sz w:val="18"/>
                <w:szCs w:val="18"/>
              </w:rPr>
            </w:pPr>
            <w:r>
              <w:rPr>
                <w:rFonts w:hint="eastAsia" w:ascii="宋体" w:hAnsi="宋体" w:cs="仿宋_GB2312"/>
                <w:sz w:val="18"/>
                <w:szCs w:val="18"/>
              </w:rPr>
              <w:t>极其危险</w:t>
            </w:r>
          </w:p>
        </w:tc>
        <w:tc>
          <w:tcPr>
            <w:tcW w:w="3990" w:type="dxa"/>
            <w:noWrap w:val="0"/>
            <w:vAlign w:val="center"/>
          </w:tcPr>
          <w:p w14:paraId="2FD895E7">
            <w:pPr>
              <w:autoSpaceDE w:val="0"/>
              <w:autoSpaceDN w:val="0"/>
              <w:adjustRightInd w:val="0"/>
              <w:snapToGrid w:val="0"/>
              <w:rPr>
                <w:rFonts w:ascii="宋体" w:hAnsi="宋体"/>
                <w:sz w:val="18"/>
                <w:szCs w:val="18"/>
              </w:rPr>
            </w:pPr>
            <w:r>
              <w:rPr>
                <w:rFonts w:hint="eastAsia" w:ascii="宋体" w:hAnsi="宋体" w:cs="仿宋_GB2312"/>
                <w:sz w:val="18"/>
                <w:szCs w:val="18"/>
              </w:rPr>
              <w:t>在采取措施降低危害前，不能继续作业，对改进措施进行评估</w:t>
            </w:r>
          </w:p>
        </w:tc>
        <w:tc>
          <w:tcPr>
            <w:tcW w:w="2136" w:type="dxa"/>
            <w:noWrap w:val="0"/>
            <w:vAlign w:val="center"/>
          </w:tcPr>
          <w:p w14:paraId="632A041B">
            <w:pPr>
              <w:autoSpaceDE w:val="0"/>
              <w:autoSpaceDN w:val="0"/>
              <w:adjustRightInd w:val="0"/>
              <w:snapToGrid w:val="0"/>
              <w:jc w:val="center"/>
              <w:rPr>
                <w:rFonts w:ascii="宋体" w:hAnsi="宋体"/>
                <w:sz w:val="18"/>
                <w:szCs w:val="18"/>
              </w:rPr>
            </w:pPr>
            <w:r>
              <w:rPr>
                <w:rFonts w:hint="eastAsia" w:ascii="宋体" w:hAnsi="宋体" w:cs="仿宋_GB2312"/>
                <w:sz w:val="18"/>
                <w:szCs w:val="18"/>
              </w:rPr>
              <w:t>立刻</w:t>
            </w:r>
          </w:p>
        </w:tc>
      </w:tr>
      <w:tr w14:paraId="2D31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45" w:type="dxa"/>
            <w:tcBorders>
              <w:bottom w:val="single" w:color="auto" w:sz="4" w:space="0"/>
            </w:tcBorders>
            <w:shd w:val="clear" w:color="auto" w:fill="FFC000"/>
            <w:noWrap w:val="0"/>
            <w:vAlign w:val="center"/>
          </w:tcPr>
          <w:p w14:paraId="7D0D8453">
            <w:pPr>
              <w:autoSpaceDE w:val="0"/>
              <w:autoSpaceDN w:val="0"/>
              <w:adjustRightInd w:val="0"/>
              <w:snapToGrid w:val="0"/>
              <w:jc w:val="center"/>
              <w:rPr>
                <w:rFonts w:ascii="宋体" w:hAnsi="宋体"/>
                <w:sz w:val="18"/>
                <w:szCs w:val="18"/>
              </w:rPr>
            </w:pPr>
            <w:r>
              <w:rPr>
                <w:rFonts w:ascii="宋体" w:hAnsi="宋体" w:cs="仿宋_GB2312"/>
                <w:sz w:val="18"/>
                <w:szCs w:val="18"/>
              </w:rPr>
              <w:t>15-16</w:t>
            </w:r>
          </w:p>
        </w:tc>
        <w:tc>
          <w:tcPr>
            <w:tcW w:w="758" w:type="dxa"/>
            <w:noWrap w:val="0"/>
            <w:vAlign w:val="center"/>
          </w:tcPr>
          <w:p w14:paraId="105BAF46">
            <w:pPr>
              <w:autoSpaceDE w:val="0"/>
              <w:autoSpaceDN w:val="0"/>
              <w:adjustRightInd w:val="0"/>
              <w:snapToGrid w:val="0"/>
              <w:jc w:val="center"/>
              <w:rPr>
                <w:rFonts w:ascii="宋体" w:hAnsi="宋体"/>
                <w:sz w:val="18"/>
                <w:szCs w:val="18"/>
              </w:rPr>
            </w:pPr>
            <w:r>
              <w:rPr>
                <w:rFonts w:hint="eastAsia" w:ascii="宋体" w:hAnsi="宋体" w:cs="仿宋_GB2312"/>
                <w:sz w:val="18"/>
                <w:szCs w:val="18"/>
              </w:rPr>
              <w:t>B/</w:t>
            </w:r>
            <w:r>
              <w:rPr>
                <w:rFonts w:ascii="宋体" w:hAnsi="宋体" w:cs="仿宋_GB2312"/>
                <w:sz w:val="18"/>
                <w:szCs w:val="18"/>
              </w:rPr>
              <w:t>2</w:t>
            </w:r>
            <w:r>
              <w:rPr>
                <w:rFonts w:hint="eastAsia" w:ascii="宋体" w:hAnsi="宋体" w:cs="仿宋_GB2312"/>
                <w:sz w:val="18"/>
                <w:szCs w:val="18"/>
              </w:rPr>
              <w:t>级</w:t>
            </w:r>
          </w:p>
        </w:tc>
        <w:tc>
          <w:tcPr>
            <w:tcW w:w="1109" w:type="dxa"/>
            <w:noWrap w:val="0"/>
            <w:vAlign w:val="center"/>
          </w:tcPr>
          <w:p w14:paraId="77A9563A">
            <w:pPr>
              <w:autoSpaceDE w:val="0"/>
              <w:autoSpaceDN w:val="0"/>
              <w:adjustRightInd w:val="0"/>
              <w:snapToGrid w:val="0"/>
              <w:jc w:val="center"/>
              <w:rPr>
                <w:rFonts w:ascii="宋体" w:hAnsi="宋体"/>
                <w:sz w:val="18"/>
                <w:szCs w:val="18"/>
              </w:rPr>
            </w:pPr>
            <w:r>
              <w:rPr>
                <w:rFonts w:hint="eastAsia" w:ascii="宋体" w:hAnsi="宋体" w:cs="仿宋_GB2312"/>
                <w:sz w:val="18"/>
                <w:szCs w:val="18"/>
              </w:rPr>
              <w:t>高度危险</w:t>
            </w:r>
          </w:p>
        </w:tc>
        <w:tc>
          <w:tcPr>
            <w:tcW w:w="3990" w:type="dxa"/>
            <w:noWrap w:val="0"/>
            <w:vAlign w:val="center"/>
          </w:tcPr>
          <w:p w14:paraId="2BCF1DB9">
            <w:pPr>
              <w:autoSpaceDE w:val="0"/>
              <w:autoSpaceDN w:val="0"/>
              <w:adjustRightInd w:val="0"/>
              <w:snapToGrid w:val="0"/>
              <w:rPr>
                <w:rFonts w:ascii="宋体" w:hAnsi="宋体"/>
                <w:sz w:val="18"/>
                <w:szCs w:val="18"/>
              </w:rPr>
            </w:pPr>
            <w:r>
              <w:rPr>
                <w:rFonts w:hint="eastAsia" w:ascii="宋体" w:hAnsi="宋体" w:cs="仿宋_GB2312"/>
                <w:sz w:val="18"/>
                <w:szCs w:val="18"/>
              </w:rPr>
              <w:t>采取紧急措施降低风险，建立运行控制程序，定期检查、测量及评估</w:t>
            </w:r>
          </w:p>
        </w:tc>
        <w:tc>
          <w:tcPr>
            <w:tcW w:w="2136" w:type="dxa"/>
            <w:noWrap w:val="0"/>
            <w:vAlign w:val="center"/>
          </w:tcPr>
          <w:p w14:paraId="06AAEF78">
            <w:pPr>
              <w:autoSpaceDE w:val="0"/>
              <w:autoSpaceDN w:val="0"/>
              <w:adjustRightInd w:val="0"/>
              <w:snapToGrid w:val="0"/>
              <w:jc w:val="center"/>
              <w:rPr>
                <w:rFonts w:ascii="宋体" w:hAnsi="宋体"/>
                <w:sz w:val="18"/>
                <w:szCs w:val="18"/>
              </w:rPr>
            </w:pPr>
            <w:r>
              <w:rPr>
                <w:rFonts w:hint="eastAsia" w:ascii="宋体" w:hAnsi="宋体" w:cs="仿宋_GB2312"/>
                <w:sz w:val="18"/>
                <w:szCs w:val="18"/>
              </w:rPr>
              <w:t>立即或近期整改</w:t>
            </w:r>
          </w:p>
        </w:tc>
      </w:tr>
      <w:tr w14:paraId="07BB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45" w:type="dxa"/>
            <w:tcBorders>
              <w:bottom w:val="single" w:color="auto" w:sz="4" w:space="0"/>
            </w:tcBorders>
            <w:shd w:val="clear" w:color="auto" w:fill="FFFF00"/>
            <w:noWrap w:val="0"/>
            <w:vAlign w:val="center"/>
          </w:tcPr>
          <w:p w14:paraId="34B6E0F9">
            <w:pPr>
              <w:autoSpaceDE w:val="0"/>
              <w:autoSpaceDN w:val="0"/>
              <w:adjustRightInd w:val="0"/>
              <w:snapToGrid w:val="0"/>
              <w:jc w:val="center"/>
              <w:rPr>
                <w:rFonts w:ascii="宋体" w:hAnsi="宋体"/>
                <w:sz w:val="18"/>
                <w:szCs w:val="18"/>
              </w:rPr>
            </w:pPr>
            <w:r>
              <w:rPr>
                <w:rFonts w:ascii="宋体" w:hAnsi="宋体" w:cs="仿宋_GB2312"/>
                <w:sz w:val="18"/>
                <w:szCs w:val="18"/>
              </w:rPr>
              <w:t>9-12</w:t>
            </w:r>
          </w:p>
        </w:tc>
        <w:tc>
          <w:tcPr>
            <w:tcW w:w="758" w:type="dxa"/>
            <w:noWrap w:val="0"/>
            <w:vAlign w:val="center"/>
          </w:tcPr>
          <w:p w14:paraId="77E551CB">
            <w:pPr>
              <w:autoSpaceDE w:val="0"/>
              <w:autoSpaceDN w:val="0"/>
              <w:adjustRightInd w:val="0"/>
              <w:snapToGrid w:val="0"/>
              <w:jc w:val="center"/>
              <w:rPr>
                <w:rFonts w:ascii="宋体" w:hAnsi="宋体"/>
                <w:sz w:val="18"/>
                <w:szCs w:val="18"/>
              </w:rPr>
            </w:pPr>
            <w:r>
              <w:rPr>
                <w:rFonts w:hint="eastAsia" w:ascii="宋体" w:hAnsi="宋体" w:cs="仿宋_GB2312"/>
                <w:sz w:val="18"/>
                <w:szCs w:val="18"/>
              </w:rPr>
              <w:t>C/</w:t>
            </w:r>
            <w:r>
              <w:rPr>
                <w:rFonts w:ascii="宋体" w:hAnsi="宋体" w:cs="仿宋_GB2312"/>
                <w:sz w:val="18"/>
                <w:szCs w:val="18"/>
              </w:rPr>
              <w:t>3</w:t>
            </w:r>
            <w:r>
              <w:rPr>
                <w:rFonts w:hint="eastAsia" w:ascii="宋体" w:hAnsi="宋体" w:cs="仿宋_GB2312"/>
                <w:sz w:val="18"/>
                <w:szCs w:val="18"/>
              </w:rPr>
              <w:t>级</w:t>
            </w:r>
          </w:p>
        </w:tc>
        <w:tc>
          <w:tcPr>
            <w:tcW w:w="1109" w:type="dxa"/>
            <w:noWrap w:val="0"/>
            <w:vAlign w:val="center"/>
          </w:tcPr>
          <w:p w14:paraId="6FD071AE">
            <w:pPr>
              <w:autoSpaceDE w:val="0"/>
              <w:autoSpaceDN w:val="0"/>
              <w:adjustRightInd w:val="0"/>
              <w:snapToGrid w:val="0"/>
              <w:jc w:val="center"/>
              <w:rPr>
                <w:rFonts w:ascii="宋体" w:hAnsi="宋体"/>
                <w:sz w:val="18"/>
                <w:szCs w:val="18"/>
              </w:rPr>
            </w:pPr>
            <w:r>
              <w:rPr>
                <w:rFonts w:hint="eastAsia" w:ascii="宋体" w:hAnsi="宋体" w:cs="仿宋_GB2312"/>
                <w:sz w:val="18"/>
                <w:szCs w:val="18"/>
              </w:rPr>
              <w:t>显著危险</w:t>
            </w:r>
          </w:p>
        </w:tc>
        <w:tc>
          <w:tcPr>
            <w:tcW w:w="3990" w:type="dxa"/>
            <w:noWrap w:val="0"/>
            <w:vAlign w:val="center"/>
          </w:tcPr>
          <w:p w14:paraId="4F879BDF">
            <w:pPr>
              <w:autoSpaceDE w:val="0"/>
              <w:autoSpaceDN w:val="0"/>
              <w:adjustRightInd w:val="0"/>
              <w:snapToGrid w:val="0"/>
              <w:rPr>
                <w:rFonts w:ascii="宋体" w:hAnsi="宋体"/>
                <w:sz w:val="18"/>
                <w:szCs w:val="18"/>
              </w:rPr>
            </w:pPr>
            <w:r>
              <w:rPr>
                <w:rFonts w:hint="eastAsia" w:ascii="宋体" w:hAnsi="宋体" w:cs="仿宋_GB2312"/>
                <w:sz w:val="18"/>
                <w:szCs w:val="18"/>
              </w:rPr>
              <w:t>可考虑建立目标、建立操作规程，加强培训及沟通</w:t>
            </w:r>
          </w:p>
        </w:tc>
        <w:tc>
          <w:tcPr>
            <w:tcW w:w="2136" w:type="dxa"/>
            <w:noWrap w:val="0"/>
            <w:vAlign w:val="center"/>
          </w:tcPr>
          <w:p w14:paraId="41D8905F">
            <w:pPr>
              <w:autoSpaceDE w:val="0"/>
              <w:autoSpaceDN w:val="0"/>
              <w:adjustRightInd w:val="0"/>
              <w:snapToGrid w:val="0"/>
              <w:jc w:val="center"/>
              <w:rPr>
                <w:rFonts w:ascii="宋体" w:hAnsi="宋体"/>
                <w:sz w:val="18"/>
                <w:szCs w:val="18"/>
              </w:rPr>
            </w:pPr>
            <w:r>
              <w:rPr>
                <w:rFonts w:ascii="宋体" w:hAnsi="宋体" w:cs="仿宋_GB2312"/>
                <w:sz w:val="18"/>
                <w:szCs w:val="18"/>
              </w:rPr>
              <w:t xml:space="preserve">2 </w:t>
            </w:r>
            <w:r>
              <w:rPr>
                <w:rFonts w:hint="eastAsia" w:ascii="宋体" w:hAnsi="宋体" w:cs="仿宋_GB2312"/>
                <w:sz w:val="18"/>
                <w:szCs w:val="18"/>
              </w:rPr>
              <w:t>年内治理</w:t>
            </w:r>
          </w:p>
        </w:tc>
      </w:tr>
      <w:tr w14:paraId="6178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45" w:type="dxa"/>
            <w:tcBorders>
              <w:bottom w:val="single" w:color="auto" w:sz="4" w:space="0"/>
            </w:tcBorders>
            <w:shd w:val="clear" w:color="auto" w:fill="00B0F0"/>
            <w:noWrap w:val="0"/>
            <w:vAlign w:val="center"/>
          </w:tcPr>
          <w:p w14:paraId="4BA730F7">
            <w:pPr>
              <w:autoSpaceDE w:val="0"/>
              <w:autoSpaceDN w:val="0"/>
              <w:adjustRightInd w:val="0"/>
              <w:snapToGrid w:val="0"/>
              <w:jc w:val="center"/>
              <w:rPr>
                <w:rFonts w:ascii="宋体" w:hAnsi="宋体"/>
                <w:sz w:val="18"/>
                <w:szCs w:val="18"/>
              </w:rPr>
            </w:pPr>
            <w:r>
              <w:rPr>
                <w:rFonts w:ascii="宋体" w:hAnsi="宋体" w:cs="仿宋_GB2312"/>
                <w:sz w:val="18"/>
                <w:szCs w:val="18"/>
              </w:rPr>
              <w:t>4-8</w:t>
            </w:r>
          </w:p>
        </w:tc>
        <w:tc>
          <w:tcPr>
            <w:tcW w:w="758" w:type="dxa"/>
            <w:noWrap w:val="0"/>
            <w:vAlign w:val="center"/>
          </w:tcPr>
          <w:p w14:paraId="117B2022">
            <w:pPr>
              <w:autoSpaceDE w:val="0"/>
              <w:autoSpaceDN w:val="0"/>
              <w:adjustRightInd w:val="0"/>
              <w:snapToGrid w:val="0"/>
              <w:jc w:val="center"/>
              <w:rPr>
                <w:rFonts w:ascii="宋体" w:hAnsi="宋体"/>
                <w:sz w:val="18"/>
                <w:szCs w:val="18"/>
              </w:rPr>
            </w:pPr>
            <w:r>
              <w:rPr>
                <w:rFonts w:hint="eastAsia" w:ascii="宋体" w:hAnsi="宋体" w:cs="仿宋_GB2312"/>
                <w:sz w:val="18"/>
                <w:szCs w:val="18"/>
              </w:rPr>
              <w:t>D/</w:t>
            </w:r>
            <w:r>
              <w:rPr>
                <w:rFonts w:ascii="宋体" w:hAnsi="宋体" w:cs="仿宋_GB2312"/>
                <w:sz w:val="18"/>
                <w:szCs w:val="18"/>
              </w:rPr>
              <w:t>4</w:t>
            </w:r>
            <w:r>
              <w:rPr>
                <w:rFonts w:hint="eastAsia" w:ascii="宋体" w:hAnsi="宋体" w:cs="仿宋_GB2312"/>
                <w:sz w:val="18"/>
                <w:szCs w:val="18"/>
              </w:rPr>
              <w:t>级</w:t>
            </w:r>
          </w:p>
        </w:tc>
        <w:tc>
          <w:tcPr>
            <w:tcW w:w="1109" w:type="dxa"/>
            <w:noWrap w:val="0"/>
            <w:vAlign w:val="center"/>
          </w:tcPr>
          <w:p w14:paraId="00E5EAE4">
            <w:pPr>
              <w:autoSpaceDE w:val="0"/>
              <w:autoSpaceDN w:val="0"/>
              <w:adjustRightInd w:val="0"/>
              <w:snapToGrid w:val="0"/>
              <w:jc w:val="center"/>
              <w:rPr>
                <w:rFonts w:ascii="宋体" w:hAnsi="宋体"/>
                <w:sz w:val="18"/>
                <w:szCs w:val="18"/>
              </w:rPr>
            </w:pPr>
            <w:r>
              <w:rPr>
                <w:rFonts w:hint="eastAsia" w:ascii="宋体" w:hAnsi="宋体" w:cs="仿宋_GB2312"/>
                <w:sz w:val="18"/>
                <w:szCs w:val="18"/>
              </w:rPr>
              <w:t>轻度危险</w:t>
            </w:r>
          </w:p>
        </w:tc>
        <w:tc>
          <w:tcPr>
            <w:tcW w:w="3990" w:type="dxa"/>
            <w:noWrap w:val="0"/>
            <w:vAlign w:val="center"/>
          </w:tcPr>
          <w:p w14:paraId="5E6E1546">
            <w:pPr>
              <w:autoSpaceDE w:val="0"/>
              <w:autoSpaceDN w:val="0"/>
              <w:adjustRightInd w:val="0"/>
              <w:snapToGrid w:val="0"/>
              <w:rPr>
                <w:rFonts w:ascii="宋体" w:hAnsi="宋体"/>
                <w:sz w:val="18"/>
                <w:szCs w:val="18"/>
              </w:rPr>
            </w:pPr>
            <w:r>
              <w:rPr>
                <w:rFonts w:hint="eastAsia" w:ascii="宋体" w:hAnsi="宋体" w:cs="仿宋_GB2312"/>
                <w:sz w:val="18"/>
                <w:szCs w:val="18"/>
              </w:rPr>
              <w:t>可考虑建立操作规程、作业指导书但需定期检查</w:t>
            </w:r>
          </w:p>
        </w:tc>
        <w:tc>
          <w:tcPr>
            <w:tcW w:w="2136" w:type="dxa"/>
            <w:noWrap w:val="0"/>
            <w:vAlign w:val="center"/>
          </w:tcPr>
          <w:p w14:paraId="6346618A">
            <w:pPr>
              <w:autoSpaceDE w:val="0"/>
              <w:autoSpaceDN w:val="0"/>
              <w:adjustRightInd w:val="0"/>
              <w:snapToGrid w:val="0"/>
              <w:jc w:val="center"/>
              <w:rPr>
                <w:rFonts w:ascii="宋体" w:hAnsi="宋体"/>
                <w:sz w:val="18"/>
                <w:szCs w:val="18"/>
              </w:rPr>
            </w:pPr>
            <w:r>
              <w:rPr>
                <w:rFonts w:hint="eastAsia" w:ascii="宋体" w:hAnsi="宋体" w:cs="仿宋_GB2312"/>
                <w:sz w:val="18"/>
                <w:szCs w:val="18"/>
              </w:rPr>
              <w:t>有条件、有经费时治理</w:t>
            </w:r>
          </w:p>
        </w:tc>
      </w:tr>
      <w:tr w14:paraId="63F1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45" w:type="dxa"/>
            <w:shd w:val="clear" w:color="auto" w:fill="00B0F0"/>
            <w:noWrap w:val="0"/>
            <w:vAlign w:val="center"/>
          </w:tcPr>
          <w:p w14:paraId="72A158A4">
            <w:pPr>
              <w:autoSpaceDE w:val="0"/>
              <w:autoSpaceDN w:val="0"/>
              <w:adjustRightInd w:val="0"/>
              <w:snapToGrid w:val="0"/>
              <w:jc w:val="center"/>
              <w:rPr>
                <w:rFonts w:ascii="宋体" w:hAnsi="宋体"/>
                <w:sz w:val="18"/>
                <w:szCs w:val="18"/>
              </w:rPr>
            </w:pPr>
            <w:r>
              <w:rPr>
                <w:rFonts w:hint="eastAsia" w:ascii="宋体" w:hAnsi="宋体" w:cs="仿宋_GB2312"/>
                <w:sz w:val="18"/>
                <w:szCs w:val="18"/>
              </w:rPr>
              <w:t>1-3</w:t>
            </w:r>
          </w:p>
        </w:tc>
        <w:tc>
          <w:tcPr>
            <w:tcW w:w="758" w:type="dxa"/>
            <w:noWrap w:val="0"/>
            <w:vAlign w:val="center"/>
          </w:tcPr>
          <w:p w14:paraId="4EF964EF">
            <w:pPr>
              <w:autoSpaceDE w:val="0"/>
              <w:autoSpaceDN w:val="0"/>
              <w:adjustRightInd w:val="0"/>
              <w:snapToGrid w:val="0"/>
              <w:jc w:val="center"/>
              <w:rPr>
                <w:rFonts w:ascii="宋体" w:hAnsi="宋体"/>
                <w:sz w:val="18"/>
                <w:szCs w:val="18"/>
              </w:rPr>
            </w:pPr>
            <w:r>
              <w:rPr>
                <w:rFonts w:hint="eastAsia" w:ascii="宋体" w:hAnsi="宋体" w:cs="仿宋_GB2312"/>
                <w:sz w:val="18"/>
                <w:szCs w:val="18"/>
              </w:rPr>
              <w:t>E/</w:t>
            </w:r>
            <w:r>
              <w:rPr>
                <w:rFonts w:ascii="宋体" w:hAnsi="宋体" w:cs="仿宋_GB2312"/>
                <w:sz w:val="18"/>
                <w:szCs w:val="18"/>
              </w:rPr>
              <w:t>5</w:t>
            </w:r>
            <w:r>
              <w:rPr>
                <w:rFonts w:hint="eastAsia" w:ascii="宋体" w:hAnsi="宋体" w:cs="仿宋_GB2312"/>
                <w:sz w:val="18"/>
                <w:szCs w:val="18"/>
              </w:rPr>
              <w:t>级</w:t>
            </w:r>
          </w:p>
        </w:tc>
        <w:tc>
          <w:tcPr>
            <w:tcW w:w="1109" w:type="dxa"/>
            <w:noWrap w:val="0"/>
            <w:vAlign w:val="center"/>
          </w:tcPr>
          <w:p w14:paraId="66DFD623">
            <w:pPr>
              <w:autoSpaceDE w:val="0"/>
              <w:autoSpaceDN w:val="0"/>
              <w:adjustRightInd w:val="0"/>
              <w:snapToGrid w:val="0"/>
              <w:jc w:val="center"/>
              <w:rPr>
                <w:rFonts w:ascii="宋体" w:hAnsi="宋体"/>
                <w:sz w:val="18"/>
                <w:szCs w:val="18"/>
              </w:rPr>
            </w:pPr>
            <w:r>
              <w:rPr>
                <w:rFonts w:hint="eastAsia" w:ascii="宋体" w:hAnsi="宋体" w:cs="仿宋_GB2312"/>
                <w:sz w:val="18"/>
                <w:szCs w:val="18"/>
              </w:rPr>
              <w:t>稍有危险</w:t>
            </w:r>
          </w:p>
        </w:tc>
        <w:tc>
          <w:tcPr>
            <w:tcW w:w="3990" w:type="dxa"/>
            <w:noWrap w:val="0"/>
            <w:vAlign w:val="center"/>
          </w:tcPr>
          <w:p w14:paraId="260C3BE7">
            <w:pPr>
              <w:autoSpaceDE w:val="0"/>
              <w:autoSpaceDN w:val="0"/>
              <w:adjustRightInd w:val="0"/>
              <w:snapToGrid w:val="0"/>
              <w:rPr>
                <w:rFonts w:ascii="宋体" w:hAnsi="宋体"/>
                <w:sz w:val="18"/>
                <w:szCs w:val="18"/>
              </w:rPr>
            </w:pPr>
            <w:r>
              <w:rPr>
                <w:rFonts w:hint="eastAsia" w:ascii="宋体" w:hAnsi="宋体" w:cs="仿宋_GB2312"/>
                <w:sz w:val="18"/>
                <w:szCs w:val="18"/>
              </w:rPr>
              <w:t>无需采用控制措施</w:t>
            </w:r>
          </w:p>
        </w:tc>
        <w:tc>
          <w:tcPr>
            <w:tcW w:w="2136" w:type="dxa"/>
            <w:noWrap w:val="0"/>
            <w:vAlign w:val="center"/>
          </w:tcPr>
          <w:p w14:paraId="7A65BD74">
            <w:pPr>
              <w:autoSpaceDE w:val="0"/>
              <w:autoSpaceDN w:val="0"/>
              <w:adjustRightInd w:val="0"/>
              <w:snapToGrid w:val="0"/>
              <w:jc w:val="center"/>
              <w:rPr>
                <w:rFonts w:ascii="宋体" w:hAnsi="宋体"/>
                <w:sz w:val="18"/>
                <w:szCs w:val="18"/>
              </w:rPr>
            </w:pPr>
            <w:r>
              <w:rPr>
                <w:rFonts w:hint="eastAsia" w:ascii="宋体" w:hAnsi="宋体" w:cs="仿宋_GB2312"/>
                <w:sz w:val="18"/>
                <w:szCs w:val="18"/>
              </w:rPr>
              <w:t>需保存记录</w:t>
            </w:r>
          </w:p>
        </w:tc>
      </w:tr>
    </w:tbl>
    <w:p w14:paraId="026FBF83">
      <w:pPr>
        <w:pStyle w:val="79"/>
        <w:numPr>
          <w:ilvl w:val="0"/>
          <w:numId w:val="0"/>
        </w:numPr>
        <w:tabs>
          <w:tab w:val="left" w:pos="180"/>
        </w:tabs>
        <w:spacing w:before="156" w:after="156"/>
      </w:pPr>
      <w:r>
        <w:rPr>
          <w:rFonts w:hint="eastAsia"/>
        </w:rPr>
        <w:t>表</w:t>
      </w:r>
      <w:r>
        <w:rPr>
          <w:rFonts w:hint="eastAsia"/>
          <w:lang w:val="en-US" w:eastAsia="zh-CN"/>
        </w:rPr>
        <w:t>D</w:t>
      </w:r>
      <w:r>
        <w:rPr>
          <w:rFonts w:hint="eastAsia"/>
        </w:rPr>
        <w:t>.4  风险矩阵表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617"/>
        <w:gridCol w:w="1716"/>
        <w:gridCol w:w="1602"/>
        <w:gridCol w:w="1601"/>
        <w:gridCol w:w="1603"/>
        <w:gridCol w:w="1601"/>
      </w:tblGrid>
      <w:tr w14:paraId="2748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495" w:type="dxa"/>
            <w:vMerge w:val="restart"/>
            <w:shd w:val="clear" w:color="auto" w:fill="auto"/>
            <w:noWrap w:val="0"/>
            <w:vAlign w:val="center"/>
          </w:tcPr>
          <w:p w14:paraId="5C44B49D">
            <w:pPr>
              <w:spacing w:after="312" w:line="0" w:lineRule="atLeast"/>
              <w:rPr>
                <w:rFonts w:ascii="宋体" w:hAnsi="宋体" w:cs="Arial"/>
                <w:sz w:val="18"/>
                <w:szCs w:val="18"/>
              </w:rPr>
            </w:pPr>
            <w:r>
              <w:rPr>
                <w:rFonts w:hint="eastAsia" w:ascii="宋体" w:hAnsi="宋体"/>
                <w:sz w:val="18"/>
                <w:szCs w:val="18"/>
              </w:rPr>
              <w:t>后</w:t>
            </w:r>
          </w:p>
          <w:p w14:paraId="1E1D37D4">
            <w:pPr>
              <w:spacing w:after="312" w:line="0" w:lineRule="atLeast"/>
              <w:rPr>
                <w:rFonts w:ascii="宋体" w:hAnsi="宋体" w:cs="Arial"/>
                <w:sz w:val="18"/>
                <w:szCs w:val="18"/>
              </w:rPr>
            </w:pPr>
            <w:r>
              <w:rPr>
                <w:rFonts w:hint="eastAsia" w:ascii="宋体" w:hAnsi="宋体"/>
                <w:sz w:val="18"/>
                <w:szCs w:val="18"/>
              </w:rPr>
              <w:t>果</w:t>
            </w:r>
          </w:p>
          <w:p w14:paraId="76BD70BB">
            <w:pPr>
              <w:spacing w:after="312" w:line="0" w:lineRule="atLeast"/>
              <w:rPr>
                <w:rFonts w:ascii="宋体" w:hAnsi="宋体" w:cs="Arial"/>
                <w:sz w:val="18"/>
                <w:szCs w:val="18"/>
              </w:rPr>
            </w:pPr>
            <w:r>
              <w:rPr>
                <w:rFonts w:hint="eastAsia" w:ascii="宋体" w:hAnsi="宋体"/>
                <w:sz w:val="18"/>
                <w:szCs w:val="18"/>
              </w:rPr>
              <w:t>等</w:t>
            </w:r>
          </w:p>
          <w:p w14:paraId="6A6E082A">
            <w:pPr>
              <w:spacing w:after="312" w:line="0" w:lineRule="atLeast"/>
              <w:rPr>
                <w:rFonts w:ascii="宋体" w:hAnsi="宋体" w:cs="Arial"/>
                <w:sz w:val="18"/>
                <w:szCs w:val="18"/>
              </w:rPr>
            </w:pPr>
            <w:r>
              <w:rPr>
                <w:rFonts w:hint="eastAsia" w:ascii="宋体" w:hAnsi="宋体"/>
                <w:sz w:val="18"/>
                <w:szCs w:val="18"/>
              </w:rPr>
              <w:t>级</w:t>
            </w:r>
          </w:p>
        </w:tc>
        <w:tc>
          <w:tcPr>
            <w:tcW w:w="617" w:type="dxa"/>
            <w:shd w:val="clear" w:color="auto" w:fill="auto"/>
            <w:noWrap w:val="0"/>
            <w:vAlign w:val="center"/>
          </w:tcPr>
          <w:p w14:paraId="54FCC859">
            <w:pPr>
              <w:spacing w:after="312" w:line="0" w:lineRule="atLeast"/>
              <w:jc w:val="center"/>
              <w:rPr>
                <w:rFonts w:ascii="宋体" w:hAnsi="宋体" w:cs="Arial"/>
                <w:sz w:val="18"/>
                <w:szCs w:val="18"/>
              </w:rPr>
            </w:pPr>
            <w:r>
              <w:rPr>
                <w:rFonts w:hint="eastAsia" w:ascii="宋体" w:hAnsi="宋体" w:cs="Arial"/>
                <w:sz w:val="18"/>
                <w:szCs w:val="18"/>
              </w:rPr>
              <w:t>5</w:t>
            </w:r>
          </w:p>
        </w:tc>
        <w:tc>
          <w:tcPr>
            <w:tcW w:w="1716" w:type="dxa"/>
            <w:shd w:val="clear" w:color="auto" w:fill="00B0F0"/>
            <w:noWrap w:val="0"/>
            <w:vAlign w:val="center"/>
          </w:tcPr>
          <w:p w14:paraId="14B94811">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2" w:type="dxa"/>
            <w:shd w:val="clear" w:color="auto" w:fill="FFFF00"/>
            <w:noWrap w:val="0"/>
            <w:vAlign w:val="center"/>
          </w:tcPr>
          <w:p w14:paraId="5D4F06E1">
            <w:pPr>
              <w:spacing w:after="312" w:line="0" w:lineRule="atLeast"/>
              <w:rPr>
                <w:rFonts w:ascii="宋体" w:hAnsi="宋体" w:cs="Arial"/>
                <w:sz w:val="18"/>
                <w:szCs w:val="18"/>
                <w:highlight w:val="yellow"/>
              </w:rPr>
            </w:pPr>
            <w:r>
              <w:rPr>
                <w:rFonts w:hint="eastAsia" w:ascii="宋体" w:hAnsi="宋体" w:cs="仿宋_GB2312"/>
                <w:sz w:val="18"/>
                <w:szCs w:val="18"/>
              </w:rPr>
              <w:t>显著危险</w:t>
            </w:r>
          </w:p>
        </w:tc>
        <w:tc>
          <w:tcPr>
            <w:tcW w:w="1601" w:type="dxa"/>
            <w:shd w:val="clear" w:color="auto" w:fill="FF9900"/>
            <w:noWrap w:val="0"/>
            <w:vAlign w:val="center"/>
          </w:tcPr>
          <w:p w14:paraId="5BF3D11D">
            <w:pPr>
              <w:spacing w:after="312" w:line="0" w:lineRule="atLeast"/>
              <w:rPr>
                <w:rFonts w:ascii="宋体" w:hAnsi="宋体" w:cs="Arial"/>
                <w:sz w:val="18"/>
                <w:szCs w:val="18"/>
              </w:rPr>
            </w:pPr>
            <w:r>
              <w:rPr>
                <w:rFonts w:hint="eastAsia" w:ascii="宋体" w:hAnsi="宋体" w:cs="仿宋_GB2312"/>
                <w:sz w:val="18"/>
                <w:szCs w:val="18"/>
              </w:rPr>
              <w:t>高度危险</w:t>
            </w:r>
          </w:p>
        </w:tc>
        <w:tc>
          <w:tcPr>
            <w:tcW w:w="1603" w:type="dxa"/>
            <w:shd w:val="clear" w:color="auto" w:fill="FF0000"/>
            <w:noWrap w:val="0"/>
            <w:vAlign w:val="center"/>
          </w:tcPr>
          <w:p w14:paraId="6A4A05F7">
            <w:pPr>
              <w:spacing w:after="312" w:line="0" w:lineRule="atLeast"/>
              <w:rPr>
                <w:rFonts w:ascii="宋体" w:hAnsi="宋体" w:cs="Arial"/>
                <w:sz w:val="18"/>
                <w:szCs w:val="18"/>
              </w:rPr>
            </w:pPr>
            <w:r>
              <w:rPr>
                <w:rFonts w:hint="eastAsia" w:ascii="宋体" w:hAnsi="宋体" w:cs="仿宋_GB2312"/>
                <w:sz w:val="18"/>
                <w:szCs w:val="18"/>
              </w:rPr>
              <w:t>极其危险</w:t>
            </w:r>
          </w:p>
        </w:tc>
        <w:tc>
          <w:tcPr>
            <w:tcW w:w="1601" w:type="dxa"/>
            <w:shd w:val="clear" w:color="auto" w:fill="FF0000"/>
            <w:noWrap w:val="0"/>
            <w:vAlign w:val="center"/>
          </w:tcPr>
          <w:p w14:paraId="175BAE78">
            <w:pPr>
              <w:spacing w:after="312" w:line="0" w:lineRule="atLeast"/>
              <w:rPr>
                <w:rFonts w:ascii="宋体" w:hAnsi="宋体" w:cs="Arial"/>
                <w:sz w:val="18"/>
                <w:szCs w:val="18"/>
              </w:rPr>
            </w:pPr>
            <w:r>
              <w:rPr>
                <w:rFonts w:hint="eastAsia" w:ascii="宋体" w:hAnsi="宋体" w:cs="仿宋_GB2312"/>
                <w:sz w:val="18"/>
                <w:szCs w:val="18"/>
              </w:rPr>
              <w:t>极其危险</w:t>
            </w:r>
          </w:p>
        </w:tc>
      </w:tr>
      <w:tr w14:paraId="6F4C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495" w:type="dxa"/>
            <w:vMerge w:val="continue"/>
            <w:shd w:val="clear" w:color="auto" w:fill="auto"/>
            <w:noWrap w:val="0"/>
            <w:vAlign w:val="center"/>
          </w:tcPr>
          <w:p w14:paraId="6B9A996C">
            <w:pPr>
              <w:spacing w:after="312" w:line="0" w:lineRule="atLeast"/>
              <w:rPr>
                <w:rFonts w:ascii="宋体" w:hAnsi="宋体" w:cs="Arial"/>
                <w:sz w:val="18"/>
                <w:szCs w:val="18"/>
              </w:rPr>
            </w:pPr>
          </w:p>
        </w:tc>
        <w:tc>
          <w:tcPr>
            <w:tcW w:w="617" w:type="dxa"/>
            <w:shd w:val="clear" w:color="auto" w:fill="auto"/>
            <w:noWrap w:val="0"/>
            <w:vAlign w:val="center"/>
          </w:tcPr>
          <w:p w14:paraId="1CFBF57E">
            <w:pPr>
              <w:spacing w:after="312" w:line="0" w:lineRule="atLeast"/>
              <w:jc w:val="center"/>
              <w:rPr>
                <w:rFonts w:ascii="宋体" w:hAnsi="宋体" w:cs="Arial"/>
                <w:sz w:val="18"/>
                <w:szCs w:val="18"/>
              </w:rPr>
            </w:pPr>
            <w:r>
              <w:rPr>
                <w:rFonts w:hint="eastAsia" w:ascii="宋体" w:hAnsi="宋体" w:cs="Arial"/>
                <w:sz w:val="18"/>
                <w:szCs w:val="18"/>
              </w:rPr>
              <w:t>4</w:t>
            </w:r>
          </w:p>
        </w:tc>
        <w:tc>
          <w:tcPr>
            <w:tcW w:w="1716" w:type="dxa"/>
            <w:shd w:val="clear" w:color="auto" w:fill="00B0F0"/>
            <w:noWrap w:val="0"/>
            <w:vAlign w:val="center"/>
          </w:tcPr>
          <w:p w14:paraId="2E2F5255">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2" w:type="dxa"/>
            <w:shd w:val="clear" w:color="auto" w:fill="00B0F0"/>
            <w:noWrap w:val="0"/>
            <w:vAlign w:val="center"/>
          </w:tcPr>
          <w:p w14:paraId="2A8C9327">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1" w:type="dxa"/>
            <w:shd w:val="clear" w:color="auto" w:fill="FFFF00"/>
            <w:noWrap w:val="0"/>
            <w:vAlign w:val="center"/>
          </w:tcPr>
          <w:p w14:paraId="20DAEA30">
            <w:pPr>
              <w:spacing w:after="312" w:line="0" w:lineRule="atLeast"/>
              <w:rPr>
                <w:rFonts w:ascii="宋体" w:hAnsi="宋体" w:cs="Arial"/>
                <w:sz w:val="18"/>
                <w:szCs w:val="18"/>
              </w:rPr>
            </w:pPr>
            <w:r>
              <w:rPr>
                <w:rFonts w:hint="eastAsia" w:ascii="宋体" w:hAnsi="宋体" w:cs="仿宋_GB2312"/>
                <w:sz w:val="18"/>
                <w:szCs w:val="18"/>
              </w:rPr>
              <w:t>显著危险</w:t>
            </w:r>
          </w:p>
        </w:tc>
        <w:tc>
          <w:tcPr>
            <w:tcW w:w="1603" w:type="dxa"/>
            <w:shd w:val="clear" w:color="auto" w:fill="FF9900"/>
            <w:noWrap w:val="0"/>
            <w:vAlign w:val="center"/>
          </w:tcPr>
          <w:p w14:paraId="1248CDA9">
            <w:pPr>
              <w:spacing w:after="312" w:line="0" w:lineRule="atLeast"/>
              <w:rPr>
                <w:rFonts w:ascii="宋体" w:hAnsi="宋体" w:cs="Arial"/>
                <w:sz w:val="18"/>
                <w:szCs w:val="18"/>
              </w:rPr>
            </w:pPr>
            <w:r>
              <w:rPr>
                <w:rFonts w:hint="eastAsia" w:ascii="宋体" w:hAnsi="宋体" w:cs="仿宋_GB2312"/>
                <w:sz w:val="18"/>
                <w:szCs w:val="18"/>
              </w:rPr>
              <w:t>高度危险</w:t>
            </w:r>
          </w:p>
        </w:tc>
        <w:tc>
          <w:tcPr>
            <w:tcW w:w="1601" w:type="dxa"/>
            <w:shd w:val="clear" w:color="auto" w:fill="FF0000"/>
            <w:noWrap w:val="0"/>
            <w:vAlign w:val="center"/>
          </w:tcPr>
          <w:p w14:paraId="300FAC80">
            <w:pPr>
              <w:spacing w:after="312" w:line="0" w:lineRule="atLeast"/>
              <w:rPr>
                <w:rFonts w:ascii="宋体" w:hAnsi="宋体" w:cs="Arial"/>
                <w:sz w:val="18"/>
                <w:szCs w:val="18"/>
              </w:rPr>
            </w:pPr>
            <w:r>
              <w:rPr>
                <w:rFonts w:hint="eastAsia" w:ascii="宋体" w:hAnsi="宋体" w:cs="仿宋_GB2312"/>
                <w:sz w:val="18"/>
                <w:szCs w:val="18"/>
              </w:rPr>
              <w:t>极其危险</w:t>
            </w:r>
          </w:p>
        </w:tc>
      </w:tr>
      <w:tr w14:paraId="5F9DD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jc w:val="center"/>
        </w:trPr>
        <w:tc>
          <w:tcPr>
            <w:tcW w:w="495" w:type="dxa"/>
            <w:vMerge w:val="continue"/>
            <w:shd w:val="clear" w:color="auto" w:fill="auto"/>
            <w:noWrap w:val="0"/>
            <w:vAlign w:val="center"/>
          </w:tcPr>
          <w:p w14:paraId="56FADA75">
            <w:pPr>
              <w:spacing w:after="312" w:line="0" w:lineRule="atLeast"/>
              <w:rPr>
                <w:rFonts w:ascii="宋体" w:hAnsi="宋体" w:cs="Arial"/>
                <w:sz w:val="18"/>
                <w:szCs w:val="18"/>
              </w:rPr>
            </w:pPr>
          </w:p>
        </w:tc>
        <w:tc>
          <w:tcPr>
            <w:tcW w:w="617" w:type="dxa"/>
            <w:shd w:val="clear" w:color="auto" w:fill="auto"/>
            <w:noWrap w:val="0"/>
            <w:vAlign w:val="center"/>
          </w:tcPr>
          <w:p w14:paraId="59F7128F">
            <w:pPr>
              <w:spacing w:after="312" w:line="0" w:lineRule="atLeast"/>
              <w:jc w:val="center"/>
              <w:rPr>
                <w:rFonts w:ascii="宋体" w:hAnsi="宋体" w:cs="Arial"/>
                <w:sz w:val="18"/>
                <w:szCs w:val="18"/>
              </w:rPr>
            </w:pPr>
            <w:r>
              <w:rPr>
                <w:rFonts w:hint="eastAsia" w:ascii="宋体" w:hAnsi="宋体" w:cs="Arial"/>
                <w:sz w:val="18"/>
                <w:szCs w:val="18"/>
              </w:rPr>
              <w:t>3</w:t>
            </w:r>
          </w:p>
        </w:tc>
        <w:tc>
          <w:tcPr>
            <w:tcW w:w="1716" w:type="dxa"/>
            <w:shd w:val="clear" w:color="auto" w:fill="00B0F0"/>
            <w:noWrap w:val="0"/>
            <w:vAlign w:val="center"/>
          </w:tcPr>
          <w:p w14:paraId="47237A6D">
            <w:pPr>
              <w:spacing w:after="312" w:line="0" w:lineRule="atLeast"/>
              <w:rPr>
                <w:rFonts w:ascii="宋体" w:hAnsi="宋体" w:cs="Arial"/>
                <w:sz w:val="18"/>
                <w:szCs w:val="18"/>
              </w:rPr>
            </w:pPr>
            <w:r>
              <w:rPr>
                <w:rFonts w:hint="eastAsia" w:ascii="宋体" w:hAnsi="宋体" w:cs="仿宋_GB2312"/>
                <w:sz w:val="18"/>
                <w:szCs w:val="18"/>
              </w:rPr>
              <w:t>稍有危险</w:t>
            </w:r>
          </w:p>
        </w:tc>
        <w:tc>
          <w:tcPr>
            <w:tcW w:w="1602" w:type="dxa"/>
            <w:shd w:val="clear" w:color="auto" w:fill="00B0F0"/>
            <w:noWrap w:val="0"/>
            <w:vAlign w:val="center"/>
          </w:tcPr>
          <w:p w14:paraId="140CAAAC">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1" w:type="dxa"/>
            <w:shd w:val="clear" w:color="auto" w:fill="FFFF00"/>
            <w:noWrap w:val="0"/>
            <w:vAlign w:val="center"/>
          </w:tcPr>
          <w:p w14:paraId="244F6DF6">
            <w:pPr>
              <w:spacing w:after="312" w:line="0" w:lineRule="atLeast"/>
              <w:rPr>
                <w:rFonts w:ascii="宋体" w:hAnsi="宋体" w:cs="Arial"/>
                <w:sz w:val="18"/>
                <w:szCs w:val="18"/>
              </w:rPr>
            </w:pPr>
            <w:r>
              <w:rPr>
                <w:rFonts w:hint="eastAsia" w:ascii="宋体" w:hAnsi="宋体" w:cs="仿宋_GB2312"/>
                <w:sz w:val="18"/>
                <w:szCs w:val="18"/>
              </w:rPr>
              <w:t>显著危险</w:t>
            </w:r>
          </w:p>
        </w:tc>
        <w:tc>
          <w:tcPr>
            <w:tcW w:w="1603" w:type="dxa"/>
            <w:shd w:val="clear" w:color="auto" w:fill="FFFF00"/>
            <w:noWrap w:val="0"/>
            <w:vAlign w:val="center"/>
          </w:tcPr>
          <w:p w14:paraId="3E9572BC">
            <w:pPr>
              <w:spacing w:after="312" w:line="0" w:lineRule="atLeast"/>
              <w:rPr>
                <w:rFonts w:ascii="宋体" w:hAnsi="宋体" w:cs="Arial"/>
                <w:sz w:val="18"/>
                <w:szCs w:val="18"/>
              </w:rPr>
            </w:pPr>
            <w:r>
              <w:rPr>
                <w:rFonts w:hint="eastAsia" w:ascii="宋体" w:hAnsi="宋体" w:cs="仿宋_GB2312"/>
                <w:sz w:val="18"/>
                <w:szCs w:val="18"/>
              </w:rPr>
              <w:t>显著危险</w:t>
            </w:r>
          </w:p>
        </w:tc>
        <w:tc>
          <w:tcPr>
            <w:tcW w:w="1601" w:type="dxa"/>
            <w:shd w:val="clear" w:color="auto" w:fill="FF9900"/>
            <w:noWrap w:val="0"/>
            <w:vAlign w:val="center"/>
          </w:tcPr>
          <w:p w14:paraId="77F1868C">
            <w:pPr>
              <w:spacing w:after="312" w:line="0" w:lineRule="atLeast"/>
              <w:rPr>
                <w:rFonts w:ascii="宋体" w:hAnsi="宋体" w:cs="Arial"/>
                <w:sz w:val="18"/>
                <w:szCs w:val="18"/>
              </w:rPr>
            </w:pPr>
            <w:r>
              <w:rPr>
                <w:rFonts w:hint="eastAsia" w:ascii="宋体" w:hAnsi="宋体" w:cs="仿宋_GB2312"/>
                <w:sz w:val="18"/>
                <w:szCs w:val="18"/>
              </w:rPr>
              <w:t>高度危险</w:t>
            </w:r>
          </w:p>
        </w:tc>
      </w:tr>
      <w:tr w14:paraId="780C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495" w:type="dxa"/>
            <w:vMerge w:val="continue"/>
            <w:shd w:val="clear" w:color="auto" w:fill="auto"/>
            <w:noWrap w:val="0"/>
            <w:vAlign w:val="center"/>
          </w:tcPr>
          <w:p w14:paraId="04073662">
            <w:pPr>
              <w:spacing w:after="312" w:line="0" w:lineRule="atLeast"/>
              <w:rPr>
                <w:rFonts w:ascii="宋体" w:hAnsi="宋体" w:cs="Arial"/>
                <w:sz w:val="18"/>
                <w:szCs w:val="18"/>
              </w:rPr>
            </w:pPr>
          </w:p>
        </w:tc>
        <w:tc>
          <w:tcPr>
            <w:tcW w:w="617" w:type="dxa"/>
            <w:shd w:val="clear" w:color="auto" w:fill="auto"/>
            <w:noWrap w:val="0"/>
            <w:vAlign w:val="center"/>
          </w:tcPr>
          <w:p w14:paraId="2AA62C8A">
            <w:pPr>
              <w:spacing w:after="312" w:line="0" w:lineRule="atLeast"/>
              <w:jc w:val="center"/>
              <w:rPr>
                <w:rFonts w:ascii="宋体" w:hAnsi="宋体" w:cs="Arial"/>
                <w:sz w:val="18"/>
                <w:szCs w:val="18"/>
              </w:rPr>
            </w:pPr>
            <w:r>
              <w:rPr>
                <w:rFonts w:hint="eastAsia" w:ascii="宋体" w:hAnsi="宋体" w:cs="Arial"/>
                <w:sz w:val="18"/>
                <w:szCs w:val="18"/>
              </w:rPr>
              <w:t>2</w:t>
            </w:r>
          </w:p>
        </w:tc>
        <w:tc>
          <w:tcPr>
            <w:tcW w:w="1716" w:type="dxa"/>
            <w:shd w:val="clear" w:color="auto" w:fill="00B0F0"/>
            <w:noWrap w:val="0"/>
            <w:vAlign w:val="center"/>
          </w:tcPr>
          <w:p w14:paraId="1896F1B2">
            <w:pPr>
              <w:spacing w:after="312" w:line="0" w:lineRule="atLeast"/>
              <w:rPr>
                <w:rFonts w:ascii="宋体" w:hAnsi="宋体" w:cs="Arial"/>
                <w:sz w:val="18"/>
                <w:szCs w:val="18"/>
              </w:rPr>
            </w:pPr>
            <w:r>
              <w:rPr>
                <w:rFonts w:hint="eastAsia" w:ascii="宋体" w:hAnsi="宋体" w:cs="仿宋_GB2312"/>
                <w:sz w:val="18"/>
                <w:szCs w:val="18"/>
              </w:rPr>
              <w:t>稍有危险</w:t>
            </w:r>
          </w:p>
        </w:tc>
        <w:tc>
          <w:tcPr>
            <w:tcW w:w="1602" w:type="dxa"/>
            <w:shd w:val="clear" w:color="auto" w:fill="00B0F0"/>
            <w:noWrap w:val="0"/>
            <w:vAlign w:val="center"/>
          </w:tcPr>
          <w:p w14:paraId="727A6752">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1" w:type="dxa"/>
            <w:shd w:val="clear" w:color="auto" w:fill="00B0F0"/>
            <w:noWrap w:val="0"/>
            <w:vAlign w:val="center"/>
          </w:tcPr>
          <w:p w14:paraId="60A30BB2">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3" w:type="dxa"/>
            <w:shd w:val="clear" w:color="auto" w:fill="00B0F0"/>
            <w:noWrap w:val="0"/>
            <w:vAlign w:val="center"/>
          </w:tcPr>
          <w:p w14:paraId="6ECBD067">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1" w:type="dxa"/>
            <w:shd w:val="clear" w:color="auto" w:fill="FFFF00"/>
            <w:noWrap w:val="0"/>
            <w:vAlign w:val="center"/>
          </w:tcPr>
          <w:p w14:paraId="46E1247B">
            <w:pPr>
              <w:spacing w:after="312" w:line="0" w:lineRule="atLeast"/>
              <w:rPr>
                <w:rFonts w:ascii="宋体" w:hAnsi="宋体" w:cs="Arial"/>
                <w:sz w:val="18"/>
                <w:szCs w:val="18"/>
              </w:rPr>
            </w:pPr>
            <w:r>
              <w:rPr>
                <w:rFonts w:hint="eastAsia" w:ascii="宋体" w:hAnsi="宋体" w:cs="仿宋_GB2312"/>
                <w:sz w:val="18"/>
                <w:szCs w:val="18"/>
              </w:rPr>
              <w:t>显著危险</w:t>
            </w:r>
          </w:p>
        </w:tc>
      </w:tr>
      <w:tr w14:paraId="141A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495" w:type="dxa"/>
            <w:vMerge w:val="continue"/>
            <w:shd w:val="clear" w:color="auto" w:fill="auto"/>
            <w:noWrap w:val="0"/>
            <w:vAlign w:val="center"/>
          </w:tcPr>
          <w:p w14:paraId="662B80DD">
            <w:pPr>
              <w:spacing w:after="312" w:line="0" w:lineRule="atLeast"/>
              <w:rPr>
                <w:rFonts w:ascii="宋体" w:hAnsi="宋体" w:cs="Arial"/>
                <w:sz w:val="18"/>
                <w:szCs w:val="18"/>
              </w:rPr>
            </w:pPr>
          </w:p>
        </w:tc>
        <w:tc>
          <w:tcPr>
            <w:tcW w:w="617" w:type="dxa"/>
            <w:shd w:val="clear" w:color="auto" w:fill="auto"/>
            <w:noWrap w:val="0"/>
            <w:vAlign w:val="center"/>
          </w:tcPr>
          <w:p w14:paraId="40A1C91A">
            <w:pPr>
              <w:spacing w:after="312" w:line="0" w:lineRule="atLeast"/>
              <w:jc w:val="center"/>
              <w:rPr>
                <w:rFonts w:ascii="宋体" w:hAnsi="宋体" w:cs="Arial"/>
                <w:sz w:val="18"/>
                <w:szCs w:val="18"/>
              </w:rPr>
            </w:pPr>
            <w:r>
              <w:rPr>
                <w:rFonts w:hint="eastAsia" w:ascii="宋体" w:hAnsi="宋体" w:cs="Arial"/>
                <w:sz w:val="18"/>
                <w:szCs w:val="18"/>
              </w:rPr>
              <w:t>1</w:t>
            </w:r>
          </w:p>
        </w:tc>
        <w:tc>
          <w:tcPr>
            <w:tcW w:w="1716" w:type="dxa"/>
            <w:shd w:val="clear" w:color="auto" w:fill="00B0F0"/>
            <w:noWrap w:val="0"/>
            <w:vAlign w:val="center"/>
          </w:tcPr>
          <w:p w14:paraId="7770ABA7">
            <w:pPr>
              <w:spacing w:after="312" w:line="0" w:lineRule="atLeast"/>
              <w:rPr>
                <w:rFonts w:ascii="宋体" w:hAnsi="宋体" w:cs="Arial"/>
                <w:sz w:val="18"/>
                <w:szCs w:val="18"/>
              </w:rPr>
            </w:pPr>
            <w:r>
              <w:rPr>
                <w:rFonts w:hint="eastAsia" w:ascii="宋体" w:hAnsi="宋体" w:cs="仿宋_GB2312"/>
                <w:sz w:val="18"/>
                <w:szCs w:val="18"/>
              </w:rPr>
              <w:t>稍有危险</w:t>
            </w:r>
          </w:p>
        </w:tc>
        <w:tc>
          <w:tcPr>
            <w:tcW w:w="1602" w:type="dxa"/>
            <w:shd w:val="clear" w:color="auto" w:fill="00B0F0"/>
            <w:noWrap w:val="0"/>
            <w:vAlign w:val="center"/>
          </w:tcPr>
          <w:p w14:paraId="0FA5CD5E">
            <w:pPr>
              <w:spacing w:after="312" w:line="0" w:lineRule="atLeast"/>
              <w:rPr>
                <w:rFonts w:ascii="宋体" w:hAnsi="宋体" w:cs="Arial"/>
                <w:sz w:val="18"/>
                <w:szCs w:val="18"/>
              </w:rPr>
            </w:pPr>
            <w:r>
              <w:rPr>
                <w:rFonts w:hint="eastAsia" w:ascii="宋体" w:hAnsi="宋体" w:cs="仿宋_GB2312"/>
                <w:sz w:val="18"/>
                <w:szCs w:val="18"/>
              </w:rPr>
              <w:t>稍有危险</w:t>
            </w:r>
          </w:p>
        </w:tc>
        <w:tc>
          <w:tcPr>
            <w:tcW w:w="1601" w:type="dxa"/>
            <w:shd w:val="clear" w:color="auto" w:fill="00B0F0"/>
            <w:noWrap w:val="0"/>
            <w:vAlign w:val="center"/>
          </w:tcPr>
          <w:p w14:paraId="2BB4C2A4">
            <w:pPr>
              <w:spacing w:after="312" w:line="0" w:lineRule="atLeast"/>
              <w:rPr>
                <w:rFonts w:ascii="宋体" w:hAnsi="宋体" w:cs="Arial"/>
                <w:sz w:val="18"/>
                <w:szCs w:val="18"/>
              </w:rPr>
            </w:pPr>
            <w:r>
              <w:rPr>
                <w:rFonts w:hint="eastAsia" w:ascii="宋体" w:hAnsi="宋体" w:cs="仿宋_GB2312"/>
                <w:sz w:val="18"/>
                <w:szCs w:val="18"/>
              </w:rPr>
              <w:t>稍有危险</w:t>
            </w:r>
          </w:p>
        </w:tc>
        <w:tc>
          <w:tcPr>
            <w:tcW w:w="1603" w:type="dxa"/>
            <w:shd w:val="clear" w:color="auto" w:fill="00B0F0"/>
            <w:noWrap w:val="0"/>
            <w:vAlign w:val="center"/>
          </w:tcPr>
          <w:p w14:paraId="00EA7B01">
            <w:pPr>
              <w:spacing w:after="312" w:line="0" w:lineRule="atLeast"/>
              <w:rPr>
                <w:rFonts w:ascii="宋体" w:hAnsi="宋体" w:cs="Arial"/>
                <w:sz w:val="18"/>
                <w:szCs w:val="18"/>
              </w:rPr>
            </w:pPr>
            <w:r>
              <w:rPr>
                <w:rFonts w:hint="eastAsia" w:ascii="宋体" w:hAnsi="宋体" w:cs="仿宋_GB2312"/>
                <w:sz w:val="18"/>
                <w:szCs w:val="18"/>
              </w:rPr>
              <w:t>轻度危险</w:t>
            </w:r>
          </w:p>
        </w:tc>
        <w:tc>
          <w:tcPr>
            <w:tcW w:w="1601" w:type="dxa"/>
            <w:shd w:val="clear" w:color="auto" w:fill="00B0F0"/>
            <w:noWrap w:val="0"/>
            <w:vAlign w:val="center"/>
          </w:tcPr>
          <w:p w14:paraId="07AEBB6D">
            <w:pPr>
              <w:spacing w:after="312" w:line="0" w:lineRule="atLeast"/>
              <w:rPr>
                <w:rFonts w:ascii="宋体" w:hAnsi="宋体" w:cs="Arial"/>
                <w:sz w:val="18"/>
                <w:szCs w:val="18"/>
              </w:rPr>
            </w:pPr>
            <w:r>
              <w:rPr>
                <w:rFonts w:hint="eastAsia" w:ascii="宋体" w:hAnsi="宋体" w:cs="仿宋_GB2312"/>
                <w:sz w:val="18"/>
                <w:szCs w:val="18"/>
              </w:rPr>
              <w:t>轻度危险</w:t>
            </w:r>
          </w:p>
        </w:tc>
      </w:tr>
      <w:tr w14:paraId="0A08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495" w:type="dxa"/>
            <w:noWrap w:val="0"/>
            <w:vAlign w:val="center"/>
          </w:tcPr>
          <w:p w14:paraId="3E23FCC5">
            <w:pPr>
              <w:snapToGrid w:val="0"/>
              <w:spacing w:line="0" w:lineRule="atLeast"/>
              <w:jc w:val="center"/>
              <w:rPr>
                <w:rFonts w:ascii="宋体" w:hAnsi="宋体" w:cs="Arial"/>
                <w:sz w:val="18"/>
                <w:szCs w:val="18"/>
              </w:rPr>
            </w:pPr>
          </w:p>
        </w:tc>
        <w:tc>
          <w:tcPr>
            <w:tcW w:w="617" w:type="dxa"/>
            <w:noWrap w:val="0"/>
            <w:vAlign w:val="center"/>
          </w:tcPr>
          <w:p w14:paraId="27CBCD74">
            <w:pPr>
              <w:snapToGrid w:val="0"/>
              <w:spacing w:line="0" w:lineRule="atLeast"/>
              <w:jc w:val="center"/>
              <w:rPr>
                <w:rFonts w:ascii="宋体" w:hAnsi="宋体" w:cs="Arial"/>
                <w:sz w:val="18"/>
                <w:szCs w:val="18"/>
              </w:rPr>
            </w:pPr>
          </w:p>
        </w:tc>
        <w:tc>
          <w:tcPr>
            <w:tcW w:w="1716" w:type="dxa"/>
            <w:noWrap w:val="0"/>
            <w:vAlign w:val="center"/>
          </w:tcPr>
          <w:p w14:paraId="5876263E">
            <w:pPr>
              <w:spacing w:after="312" w:line="0" w:lineRule="atLeast"/>
              <w:jc w:val="center"/>
              <w:rPr>
                <w:rFonts w:ascii="宋体" w:hAnsi="宋体"/>
                <w:sz w:val="18"/>
                <w:szCs w:val="18"/>
              </w:rPr>
            </w:pPr>
            <w:r>
              <w:rPr>
                <w:rFonts w:hint="eastAsia" w:ascii="宋体" w:hAnsi="宋体"/>
                <w:sz w:val="18"/>
                <w:szCs w:val="18"/>
              </w:rPr>
              <w:t>1</w:t>
            </w:r>
          </w:p>
        </w:tc>
        <w:tc>
          <w:tcPr>
            <w:tcW w:w="1602" w:type="dxa"/>
            <w:noWrap w:val="0"/>
            <w:vAlign w:val="center"/>
          </w:tcPr>
          <w:p w14:paraId="2FE136B0">
            <w:pPr>
              <w:spacing w:after="312" w:line="0" w:lineRule="atLeast"/>
              <w:jc w:val="center"/>
              <w:rPr>
                <w:rFonts w:ascii="宋体" w:hAnsi="宋体"/>
                <w:sz w:val="18"/>
                <w:szCs w:val="18"/>
              </w:rPr>
            </w:pPr>
            <w:r>
              <w:rPr>
                <w:rFonts w:hint="eastAsia" w:ascii="宋体" w:hAnsi="宋体"/>
                <w:sz w:val="18"/>
                <w:szCs w:val="18"/>
              </w:rPr>
              <w:t>2</w:t>
            </w:r>
          </w:p>
        </w:tc>
        <w:tc>
          <w:tcPr>
            <w:tcW w:w="1601" w:type="dxa"/>
            <w:noWrap w:val="0"/>
            <w:vAlign w:val="center"/>
          </w:tcPr>
          <w:p w14:paraId="445D8C25">
            <w:pPr>
              <w:spacing w:after="312" w:line="0" w:lineRule="atLeast"/>
              <w:jc w:val="center"/>
              <w:rPr>
                <w:rFonts w:ascii="宋体" w:hAnsi="宋体"/>
                <w:sz w:val="18"/>
                <w:szCs w:val="18"/>
              </w:rPr>
            </w:pPr>
            <w:r>
              <w:rPr>
                <w:rFonts w:hint="eastAsia" w:ascii="宋体" w:hAnsi="宋体"/>
                <w:sz w:val="18"/>
                <w:szCs w:val="18"/>
              </w:rPr>
              <w:t>3</w:t>
            </w:r>
          </w:p>
        </w:tc>
        <w:tc>
          <w:tcPr>
            <w:tcW w:w="1603" w:type="dxa"/>
            <w:noWrap w:val="0"/>
            <w:vAlign w:val="center"/>
          </w:tcPr>
          <w:p w14:paraId="2F884396">
            <w:pPr>
              <w:spacing w:after="312" w:line="0" w:lineRule="atLeast"/>
              <w:jc w:val="center"/>
              <w:rPr>
                <w:rFonts w:ascii="宋体" w:hAnsi="宋体"/>
                <w:sz w:val="18"/>
                <w:szCs w:val="18"/>
              </w:rPr>
            </w:pPr>
            <w:r>
              <w:rPr>
                <w:rFonts w:hint="eastAsia" w:ascii="宋体" w:hAnsi="宋体"/>
                <w:sz w:val="18"/>
                <w:szCs w:val="18"/>
              </w:rPr>
              <w:t>4</w:t>
            </w:r>
          </w:p>
        </w:tc>
        <w:tc>
          <w:tcPr>
            <w:tcW w:w="1601" w:type="dxa"/>
            <w:noWrap w:val="0"/>
            <w:vAlign w:val="center"/>
          </w:tcPr>
          <w:p w14:paraId="40CEBB15">
            <w:pPr>
              <w:spacing w:after="312" w:line="0" w:lineRule="atLeast"/>
              <w:jc w:val="center"/>
              <w:rPr>
                <w:rFonts w:ascii="宋体" w:hAnsi="宋体"/>
                <w:sz w:val="18"/>
                <w:szCs w:val="18"/>
              </w:rPr>
            </w:pPr>
            <w:r>
              <w:rPr>
                <w:rFonts w:hint="eastAsia" w:ascii="宋体" w:hAnsi="宋体"/>
                <w:sz w:val="18"/>
                <w:szCs w:val="18"/>
              </w:rPr>
              <w:t>5</w:t>
            </w:r>
          </w:p>
        </w:tc>
      </w:tr>
    </w:tbl>
    <w:p w14:paraId="04249F9A">
      <w:pPr>
        <w:pStyle w:val="41"/>
        <w:ind w:firstLine="420"/>
        <w:rPr>
          <w:rFonts w:hint="default"/>
          <w:lang w:val="en-US" w:eastAsia="zh-CN"/>
        </w:rPr>
      </w:pPr>
    </w:p>
    <w:p w14:paraId="55FA3FF0">
      <w:pPr>
        <w:pStyle w:val="41"/>
        <w:ind w:firstLine="420"/>
        <w:rPr>
          <w:rFonts w:hint="default"/>
          <w:lang w:val="en-US" w:eastAsia="zh-CN"/>
        </w:rPr>
      </w:pPr>
    </w:p>
    <w:p w14:paraId="3B8313EC">
      <w:pPr>
        <w:pStyle w:val="41"/>
        <w:ind w:firstLine="420"/>
        <w:rPr>
          <w:rFonts w:hint="default"/>
          <w:lang w:val="en-US" w:eastAsia="zh-CN"/>
        </w:rPr>
      </w:pPr>
    </w:p>
    <w:p w14:paraId="3996ADE4">
      <w:pPr>
        <w:pStyle w:val="41"/>
        <w:ind w:firstLine="420"/>
        <w:rPr>
          <w:rFonts w:hint="default"/>
          <w:lang w:val="en-US" w:eastAsia="zh-CN"/>
        </w:rPr>
      </w:pPr>
    </w:p>
    <w:p w14:paraId="041ADD5F">
      <w:pPr>
        <w:pStyle w:val="41"/>
        <w:ind w:firstLine="420"/>
        <w:rPr>
          <w:rFonts w:hint="default"/>
          <w:lang w:val="en-US" w:eastAsia="zh-CN"/>
        </w:rPr>
      </w:pPr>
    </w:p>
    <w:p w14:paraId="12B29F34">
      <w:pPr>
        <w:pStyle w:val="41"/>
        <w:ind w:firstLine="420"/>
        <w:rPr>
          <w:rFonts w:hint="default"/>
          <w:lang w:val="en-US" w:eastAsia="zh-CN"/>
        </w:rPr>
      </w:pPr>
    </w:p>
    <w:p w14:paraId="12F146CB">
      <w:pPr>
        <w:pStyle w:val="41"/>
        <w:ind w:firstLine="420"/>
        <w:rPr>
          <w:rFonts w:hint="default"/>
          <w:lang w:val="en-US" w:eastAsia="zh-CN"/>
        </w:rPr>
      </w:pPr>
    </w:p>
    <w:p w14:paraId="44BF36B0">
      <w:pPr>
        <w:pStyle w:val="41"/>
        <w:ind w:firstLine="420"/>
        <w:rPr>
          <w:rFonts w:hint="default"/>
          <w:lang w:val="en-US" w:eastAsia="zh-CN"/>
        </w:rPr>
      </w:pPr>
    </w:p>
    <w:p w14:paraId="501D344E">
      <w:pPr>
        <w:pStyle w:val="55"/>
        <w:numPr>
          <w:ilvl w:val="0"/>
          <w:numId w:val="0"/>
        </w:numPr>
        <w:tabs>
          <w:tab w:val="left" w:pos="360"/>
        </w:tabs>
        <w:rPr>
          <w:rFonts w:hint="eastAsia"/>
        </w:rPr>
        <w:sectPr>
          <w:pgSz w:w="11900" w:h="16840"/>
          <w:pgMar w:top="561" w:right="1134" w:bottom="561" w:left="1418" w:header="1418" w:footer="720" w:gutter="0"/>
          <w:pgNumType w:fmt="decimal"/>
          <w:cols w:space="720" w:num="1"/>
          <w:docGrid w:linePitch="286" w:charSpace="0"/>
        </w:sectPr>
      </w:pPr>
      <w:bookmarkStart w:id="240" w:name="_Toc16756"/>
      <w:bookmarkStart w:id="241" w:name="_Toc23910"/>
      <w:bookmarkStart w:id="242" w:name="_Toc2104"/>
      <w:bookmarkStart w:id="243" w:name="_Toc10712"/>
      <w:bookmarkStart w:id="244" w:name="_Toc25831"/>
      <w:bookmarkStart w:id="245" w:name="_Toc11591"/>
      <w:bookmarkStart w:id="246" w:name="_Toc29467"/>
      <w:bookmarkStart w:id="247" w:name="_Toc24227"/>
      <w:bookmarkStart w:id="248" w:name="_Toc28526"/>
      <w:bookmarkStart w:id="249" w:name="_Toc3182"/>
      <w:bookmarkStart w:id="250" w:name="_Toc3908"/>
      <w:bookmarkStart w:id="251" w:name="_Toc29060"/>
      <w:bookmarkStart w:id="252" w:name="_Toc27701"/>
    </w:p>
    <w:p w14:paraId="1161D815">
      <w:pPr>
        <w:pStyle w:val="55"/>
        <w:numPr>
          <w:ilvl w:val="0"/>
          <w:numId w:val="0"/>
        </w:numPr>
        <w:tabs>
          <w:tab w:val="left" w:pos="360"/>
        </w:tabs>
      </w:pPr>
      <w:r>
        <w:rPr>
          <w:rFonts w:hint="eastAsia"/>
        </w:rPr>
        <w:t xml:space="preserve">附  录  </w:t>
      </w:r>
      <w:r>
        <w:rPr>
          <w:rFonts w:hint="eastAsia"/>
          <w:lang w:val="en-US" w:eastAsia="zh-CN"/>
        </w:rPr>
        <w:t>E</w:t>
      </w:r>
      <w:r>
        <w:br w:type="textWrapping"/>
      </w:r>
      <w:r>
        <w:rPr>
          <w:rFonts w:hint="eastAsia"/>
        </w:rPr>
        <w:t>（资料性）</w:t>
      </w:r>
      <w:r>
        <w:br w:type="textWrapping"/>
      </w:r>
      <w:r>
        <w:rPr>
          <w:rFonts w:hint="eastAsia"/>
        </w:rPr>
        <w:t>风险程度分析法（MES）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590D0445">
      <w:pPr>
        <w:rPr>
          <w:rFonts w:hint="eastAsia" w:ascii="黑体" w:hAnsi="黑体" w:eastAsia="黑体" w:cs="黑体"/>
        </w:rPr>
      </w:pPr>
      <w:bookmarkStart w:id="253" w:name="_Toc27687"/>
      <w:bookmarkStart w:id="254" w:name="_Toc25585"/>
      <w:bookmarkStart w:id="255" w:name="_Toc26945"/>
      <w:bookmarkStart w:id="256" w:name="_Toc29428"/>
      <w:bookmarkStart w:id="257" w:name="_Toc22320"/>
      <w:r>
        <w:rPr>
          <w:rFonts w:hint="eastAsia" w:ascii="黑体" w:hAnsi="黑体" w:eastAsia="黑体" w:cs="黑体"/>
          <w:lang w:val="en-US" w:eastAsia="zh-CN"/>
        </w:rPr>
        <w:t>E</w:t>
      </w:r>
      <w:r>
        <w:rPr>
          <w:rFonts w:hint="eastAsia" w:ascii="黑体" w:hAnsi="黑体" w:eastAsia="黑体" w:cs="黑体"/>
        </w:rPr>
        <w:t>.1  风险的定义</w:t>
      </w:r>
      <w:bookmarkEnd w:id="253"/>
      <w:bookmarkEnd w:id="254"/>
      <w:bookmarkEnd w:id="255"/>
      <w:bookmarkEnd w:id="256"/>
      <w:bookmarkEnd w:id="257"/>
    </w:p>
    <w:p w14:paraId="7CA64EC2">
      <w:pPr>
        <w:pStyle w:val="41"/>
        <w:ind w:firstLine="420"/>
      </w:pPr>
      <w:r>
        <w:rPr>
          <w:rFonts w:hint="eastAsia"/>
        </w:rPr>
        <w:t>指特定危害性事件发生的可能性和后果的结合。人们常常将可能性</w:t>
      </w:r>
      <w:r>
        <w:t>L</w:t>
      </w:r>
      <w:r>
        <w:rPr>
          <w:rFonts w:hint="eastAsia"/>
        </w:rPr>
        <w:t>的大小和后果</w:t>
      </w:r>
      <w:r>
        <w:t>S</w:t>
      </w:r>
      <w:r>
        <w:rPr>
          <w:rFonts w:hint="eastAsia"/>
        </w:rPr>
        <w:t>的严重程度分别用表明相对差距的数值来表示，然后用两者的乘积反映风险程度</w:t>
      </w:r>
      <w:r>
        <w:t>R</w:t>
      </w:r>
      <w:r>
        <w:rPr>
          <w:rFonts w:hint="eastAsia"/>
        </w:rPr>
        <w:t>的大小，即</w:t>
      </w:r>
      <w:r>
        <w:t>R</w:t>
      </w:r>
      <w:r>
        <w:rPr>
          <w:rFonts w:hint="eastAsia"/>
        </w:rPr>
        <w:t>＝</w:t>
      </w:r>
      <w:r>
        <w:t>LS</w:t>
      </w:r>
      <w:r>
        <w:rPr>
          <w:rFonts w:hint="eastAsia"/>
        </w:rPr>
        <w:t>。</w:t>
      </w:r>
    </w:p>
    <w:p w14:paraId="6E73450F">
      <w:pPr>
        <w:rPr>
          <w:rFonts w:hint="eastAsia" w:ascii="黑体" w:hAnsi="黑体" w:eastAsia="黑体" w:cs="黑体"/>
        </w:rPr>
      </w:pPr>
      <w:bookmarkStart w:id="258" w:name="_Toc4664"/>
      <w:bookmarkStart w:id="259" w:name="_Toc32428"/>
      <w:bookmarkStart w:id="260" w:name="_Toc3302"/>
      <w:r>
        <w:rPr>
          <w:rFonts w:hint="eastAsia" w:ascii="黑体" w:hAnsi="黑体" w:eastAsia="黑体" w:cs="黑体"/>
          <w:lang w:val="en-US" w:eastAsia="zh-CN"/>
        </w:rPr>
        <w:t>E</w:t>
      </w:r>
      <w:r>
        <w:rPr>
          <w:rFonts w:hint="eastAsia" w:ascii="黑体" w:hAnsi="黑体" w:eastAsia="黑体" w:cs="黑体"/>
        </w:rPr>
        <w:t>.2  事故发生的可能性L</w:t>
      </w:r>
      <w:bookmarkEnd w:id="258"/>
      <w:bookmarkEnd w:id="259"/>
      <w:bookmarkEnd w:id="260"/>
    </w:p>
    <w:p w14:paraId="4DCBC40D">
      <w:pPr>
        <w:pStyle w:val="41"/>
        <w:ind w:firstLine="420"/>
      </w:pPr>
      <w:r>
        <w:rPr>
          <w:rFonts w:hint="eastAsia"/>
        </w:rPr>
        <w:t>人身伤害事故和职业相关病症发生的可能性主要取决于对于特定危害的控制措施的状态</w:t>
      </w:r>
      <w:r>
        <w:t>M</w:t>
      </w:r>
      <w:r>
        <w:rPr>
          <w:rFonts w:hint="eastAsia"/>
        </w:rPr>
        <w:t>和人体暴露</w:t>
      </w:r>
      <w:r>
        <w:t>于</w:t>
      </w:r>
      <w:r>
        <w:rPr>
          <w:rFonts w:hint="eastAsia"/>
        </w:rPr>
        <w:t>危害（</w:t>
      </w:r>
      <w:r>
        <w:t>危险</w:t>
      </w:r>
      <w:r>
        <w:rPr>
          <w:rFonts w:hint="eastAsia"/>
        </w:rPr>
        <w:t>状态）</w:t>
      </w:r>
      <w:r>
        <w:t>的频繁程度E</w:t>
      </w:r>
      <w:r>
        <w:rPr>
          <w:rFonts w:hint="eastAsia"/>
          <w:vertAlign w:val="subscript"/>
        </w:rPr>
        <w:t>1</w:t>
      </w:r>
      <w:r>
        <w:rPr>
          <w:rFonts w:hint="eastAsia"/>
        </w:rPr>
        <w:t>；单纯财产损失事故和环境污染事故发生的可能性主要取决于对于特定危害的控制措施的状态</w:t>
      </w:r>
      <w:r>
        <w:t>M</w:t>
      </w:r>
      <w:r>
        <w:rPr>
          <w:rFonts w:hint="eastAsia"/>
        </w:rPr>
        <w:t>和危害（</w:t>
      </w:r>
      <w:r>
        <w:t>危险</w:t>
      </w:r>
      <w:r>
        <w:rPr>
          <w:rFonts w:hint="eastAsia"/>
        </w:rPr>
        <w:t>状态）出现的频次</w:t>
      </w:r>
      <w:r>
        <w:t>E</w:t>
      </w:r>
      <w:r>
        <w:rPr>
          <w:rFonts w:hint="eastAsia"/>
          <w:vertAlign w:val="subscript"/>
        </w:rPr>
        <w:t>2</w:t>
      </w:r>
      <w:r>
        <w:rPr>
          <w:rFonts w:hint="eastAsia"/>
        </w:rPr>
        <w:t>。</w:t>
      </w:r>
    </w:p>
    <w:p w14:paraId="039ACA3E">
      <w:pPr>
        <w:rPr>
          <w:rFonts w:hint="eastAsia" w:ascii="黑体" w:hAnsi="黑体" w:eastAsia="黑体" w:cs="黑体"/>
        </w:rPr>
      </w:pPr>
      <w:bookmarkStart w:id="261" w:name="_Toc15996"/>
      <w:bookmarkStart w:id="262" w:name="_Toc26048"/>
      <w:bookmarkStart w:id="263" w:name="_Toc8916"/>
      <w:r>
        <w:rPr>
          <w:rFonts w:hint="eastAsia" w:ascii="黑体" w:hAnsi="黑体" w:eastAsia="黑体" w:cs="黑体"/>
          <w:lang w:val="en-US" w:eastAsia="zh-CN"/>
        </w:rPr>
        <w:t>E</w:t>
      </w:r>
      <w:r>
        <w:rPr>
          <w:rFonts w:hint="eastAsia" w:ascii="黑体" w:hAnsi="黑体" w:eastAsia="黑体" w:cs="黑体"/>
        </w:rPr>
        <w:t>.3  控制措施的状态M</w:t>
      </w:r>
      <w:bookmarkEnd w:id="261"/>
      <w:bookmarkEnd w:id="262"/>
      <w:bookmarkEnd w:id="263"/>
    </w:p>
    <w:p w14:paraId="58836FB2">
      <w:pPr>
        <w:pStyle w:val="41"/>
        <w:ind w:firstLine="420"/>
      </w:pPr>
      <w:r>
        <w:t>对于特定危害引起特定事故（这里“特定事故”一词既包含“类型”的含义，如碰伤、灼伤、轧入、高处坠落、触电、火灾、爆炸等；也包含“程度”的含义，如死亡、永久性部分丧失劳动能力、暂时性全部丧失劳动能力、仅需急救、轻微设备损失等）而言，无控制措施时发生的可能性较大，有减轻后果的应急措施时发生的可能性较小，有预防措施时发生的可能性最小。控制措施的状态M的赋值见表</w:t>
      </w:r>
      <w:r>
        <w:rPr>
          <w:rFonts w:hint="eastAsia"/>
          <w:lang w:val="en-US" w:eastAsia="zh-CN"/>
        </w:rPr>
        <w:t>E</w:t>
      </w:r>
      <w:r>
        <w:rPr>
          <w:rFonts w:hint="eastAsia"/>
        </w:rPr>
        <w:t>.1</w:t>
      </w:r>
      <w:r>
        <w:t>。</w:t>
      </w:r>
    </w:p>
    <w:p w14:paraId="58115E02">
      <w:pPr>
        <w:pStyle w:val="79"/>
        <w:numPr>
          <w:ilvl w:val="0"/>
          <w:numId w:val="0"/>
        </w:numPr>
        <w:tabs>
          <w:tab w:val="left" w:pos="180"/>
        </w:tabs>
        <w:spacing w:before="156" w:after="156"/>
      </w:pPr>
      <w:r>
        <w:rPr>
          <w:rFonts w:hint="eastAsia"/>
        </w:rPr>
        <w:t>表</w:t>
      </w:r>
      <w:r>
        <w:rPr>
          <w:rFonts w:hint="eastAsia" w:ascii="黑体" w:hAnsi="黑体" w:eastAsia="黑体" w:cs="黑体"/>
          <w:lang w:val="en-US" w:eastAsia="zh-CN"/>
        </w:rPr>
        <w:t>E</w:t>
      </w:r>
      <w:r>
        <w:rPr>
          <w:rFonts w:hint="eastAsia"/>
        </w:rPr>
        <w:t>.1  控制措施的状态（M）判定准则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20"/>
        <w:gridCol w:w="7899"/>
      </w:tblGrid>
      <w:tr w14:paraId="305B77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420" w:type="dxa"/>
            <w:tcBorders>
              <w:top w:val="single" w:color="auto" w:sz="8" w:space="0"/>
              <w:left w:val="single" w:color="auto" w:sz="8" w:space="0"/>
            </w:tcBorders>
            <w:noWrap w:val="0"/>
            <w:vAlign w:val="center"/>
          </w:tcPr>
          <w:p w14:paraId="649B6528">
            <w:pPr>
              <w:pStyle w:val="8"/>
              <w:jc w:val="center"/>
              <w:rPr>
                <w:rFonts w:hAnsi="宋体" w:cs="宋体"/>
                <w:sz w:val="18"/>
                <w:szCs w:val="18"/>
              </w:rPr>
            </w:pPr>
            <w:r>
              <w:rPr>
                <w:rFonts w:hAnsi="宋体" w:cs="宋体"/>
                <w:sz w:val="18"/>
                <w:szCs w:val="18"/>
              </w:rPr>
              <w:t>分数值</w:t>
            </w:r>
          </w:p>
        </w:tc>
        <w:tc>
          <w:tcPr>
            <w:tcW w:w="7899" w:type="dxa"/>
            <w:tcBorders>
              <w:top w:val="single" w:color="auto" w:sz="8" w:space="0"/>
              <w:right w:val="single" w:color="auto" w:sz="8" w:space="0"/>
            </w:tcBorders>
            <w:noWrap w:val="0"/>
            <w:vAlign w:val="center"/>
          </w:tcPr>
          <w:p w14:paraId="0EECBF57">
            <w:pPr>
              <w:jc w:val="center"/>
              <w:rPr>
                <w:rFonts w:ascii="宋体" w:hAnsi="宋体" w:cs="宋体"/>
                <w:sz w:val="18"/>
                <w:szCs w:val="18"/>
              </w:rPr>
            </w:pPr>
            <w:r>
              <w:rPr>
                <w:rFonts w:ascii="宋体" w:hAnsi="宋体" w:cs="宋体"/>
                <w:sz w:val="18"/>
                <w:szCs w:val="18"/>
              </w:rPr>
              <w:t>控制措施</w:t>
            </w:r>
            <w:r>
              <w:rPr>
                <w:rFonts w:ascii="宋体" w:hAnsi="宋体"/>
                <w:sz w:val="18"/>
                <w:szCs w:val="18"/>
              </w:rPr>
              <w:t>的状态</w:t>
            </w:r>
          </w:p>
        </w:tc>
      </w:tr>
      <w:tr w14:paraId="608118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420" w:type="dxa"/>
            <w:tcBorders>
              <w:top w:val="single" w:color="auto" w:sz="8" w:space="0"/>
              <w:left w:val="single" w:color="auto" w:sz="8" w:space="0"/>
            </w:tcBorders>
            <w:noWrap w:val="0"/>
            <w:vAlign w:val="center"/>
          </w:tcPr>
          <w:p w14:paraId="3D27F07E">
            <w:pPr>
              <w:pStyle w:val="8"/>
              <w:jc w:val="center"/>
              <w:rPr>
                <w:rFonts w:hAnsi="宋体" w:cs="宋体"/>
                <w:sz w:val="18"/>
                <w:szCs w:val="18"/>
              </w:rPr>
            </w:pPr>
            <w:r>
              <w:rPr>
                <w:rFonts w:hAnsi="宋体" w:cs="宋体"/>
                <w:sz w:val="18"/>
                <w:szCs w:val="18"/>
              </w:rPr>
              <w:t>5</w:t>
            </w:r>
          </w:p>
        </w:tc>
        <w:tc>
          <w:tcPr>
            <w:tcW w:w="7899" w:type="dxa"/>
            <w:tcBorders>
              <w:top w:val="single" w:color="auto" w:sz="8" w:space="0"/>
              <w:right w:val="single" w:color="auto" w:sz="8" w:space="0"/>
            </w:tcBorders>
            <w:noWrap w:val="0"/>
            <w:vAlign w:val="center"/>
          </w:tcPr>
          <w:p w14:paraId="47266AFD">
            <w:pPr>
              <w:widowControl/>
              <w:jc w:val="center"/>
              <w:rPr>
                <w:rFonts w:ascii="宋体" w:hAnsi="宋体" w:cs="宋体"/>
                <w:sz w:val="18"/>
                <w:szCs w:val="18"/>
              </w:rPr>
            </w:pPr>
            <w:r>
              <w:rPr>
                <w:rFonts w:hint="eastAsia" w:ascii="宋体" w:hAnsi="宋体" w:cs="宋体"/>
                <w:sz w:val="18"/>
                <w:szCs w:val="18"/>
              </w:rPr>
              <w:t>无控制措施</w:t>
            </w:r>
          </w:p>
        </w:tc>
      </w:tr>
      <w:tr w14:paraId="23DF59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1420" w:type="dxa"/>
            <w:tcBorders>
              <w:left w:val="single" w:color="auto" w:sz="8" w:space="0"/>
            </w:tcBorders>
            <w:noWrap w:val="0"/>
            <w:vAlign w:val="center"/>
          </w:tcPr>
          <w:p w14:paraId="6D7E0F5C">
            <w:pPr>
              <w:pStyle w:val="8"/>
              <w:jc w:val="center"/>
              <w:rPr>
                <w:rFonts w:hAnsi="宋体" w:cs="宋体"/>
                <w:sz w:val="18"/>
                <w:szCs w:val="18"/>
              </w:rPr>
            </w:pPr>
            <w:r>
              <w:rPr>
                <w:rFonts w:hAnsi="宋体" w:cs="宋体"/>
                <w:sz w:val="18"/>
                <w:szCs w:val="18"/>
              </w:rPr>
              <w:t>3</w:t>
            </w:r>
          </w:p>
        </w:tc>
        <w:tc>
          <w:tcPr>
            <w:tcW w:w="7899" w:type="dxa"/>
            <w:tcBorders>
              <w:right w:val="single" w:color="auto" w:sz="8" w:space="0"/>
            </w:tcBorders>
            <w:noWrap w:val="0"/>
            <w:vAlign w:val="center"/>
          </w:tcPr>
          <w:p w14:paraId="54ADD7E3">
            <w:pPr>
              <w:widowControl/>
              <w:jc w:val="center"/>
              <w:rPr>
                <w:rFonts w:ascii="宋体" w:hAnsi="宋体" w:cs="宋体"/>
                <w:sz w:val="18"/>
                <w:szCs w:val="18"/>
              </w:rPr>
            </w:pPr>
            <w:r>
              <w:rPr>
                <w:rFonts w:hint="eastAsia" w:ascii="宋体" w:hAnsi="宋体" w:cs="宋体"/>
                <w:sz w:val="18"/>
                <w:szCs w:val="18"/>
              </w:rPr>
              <w:t>有减轻后果的应急措施，</w:t>
            </w:r>
            <w:r>
              <w:rPr>
                <w:rFonts w:ascii="宋体" w:hAnsi="宋体"/>
                <w:sz w:val="18"/>
                <w:szCs w:val="18"/>
              </w:rPr>
              <w:t>如</w:t>
            </w:r>
            <w:r>
              <w:rPr>
                <w:rFonts w:hint="eastAsia" w:ascii="宋体" w:hAnsi="宋体" w:cs="宋体"/>
                <w:sz w:val="18"/>
                <w:szCs w:val="18"/>
              </w:rPr>
              <w:t>警报系统、个体防护用品</w:t>
            </w:r>
          </w:p>
        </w:tc>
      </w:tr>
      <w:tr w14:paraId="2254E8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87" w:hRule="atLeast"/>
          <w:jc w:val="center"/>
        </w:trPr>
        <w:tc>
          <w:tcPr>
            <w:tcW w:w="1420" w:type="dxa"/>
            <w:tcBorders>
              <w:left w:val="single" w:color="auto" w:sz="8" w:space="0"/>
              <w:bottom w:val="single" w:color="auto" w:sz="8" w:space="0"/>
            </w:tcBorders>
            <w:noWrap w:val="0"/>
            <w:vAlign w:val="center"/>
          </w:tcPr>
          <w:p w14:paraId="621D4555">
            <w:pPr>
              <w:pStyle w:val="8"/>
              <w:jc w:val="center"/>
              <w:rPr>
                <w:rFonts w:hAnsi="宋体" w:cs="宋体"/>
                <w:sz w:val="18"/>
                <w:szCs w:val="18"/>
              </w:rPr>
            </w:pPr>
            <w:r>
              <w:rPr>
                <w:rFonts w:hAnsi="宋体" w:cs="宋体"/>
                <w:sz w:val="18"/>
                <w:szCs w:val="18"/>
              </w:rPr>
              <w:t>1</w:t>
            </w:r>
          </w:p>
        </w:tc>
        <w:tc>
          <w:tcPr>
            <w:tcW w:w="7899" w:type="dxa"/>
            <w:tcBorders>
              <w:bottom w:val="single" w:color="auto" w:sz="8" w:space="0"/>
              <w:right w:val="single" w:color="auto" w:sz="8" w:space="0"/>
            </w:tcBorders>
            <w:noWrap w:val="0"/>
            <w:vAlign w:val="center"/>
          </w:tcPr>
          <w:p w14:paraId="0E456E4B">
            <w:pPr>
              <w:widowControl/>
              <w:jc w:val="center"/>
              <w:rPr>
                <w:rFonts w:ascii="宋体" w:hAnsi="宋体" w:cs="宋体"/>
                <w:sz w:val="18"/>
                <w:szCs w:val="18"/>
              </w:rPr>
            </w:pPr>
            <w:r>
              <w:rPr>
                <w:rFonts w:ascii="宋体" w:hAnsi="宋体"/>
                <w:sz w:val="18"/>
                <w:szCs w:val="18"/>
              </w:rPr>
              <w:t>有预防措施，如机器防护装置等，但须保证有效</w:t>
            </w:r>
          </w:p>
        </w:tc>
      </w:tr>
    </w:tbl>
    <w:p w14:paraId="36410F67">
      <w:pPr>
        <w:rPr>
          <w:rFonts w:hint="eastAsia" w:ascii="黑体" w:hAnsi="黑体" w:eastAsia="黑体" w:cs="黑体"/>
        </w:rPr>
      </w:pPr>
      <w:bookmarkStart w:id="264" w:name="_Toc5822"/>
      <w:bookmarkStart w:id="265" w:name="_Toc10361"/>
      <w:bookmarkStart w:id="266" w:name="_Toc15767"/>
      <w:r>
        <w:rPr>
          <w:rFonts w:hint="eastAsia" w:ascii="黑体" w:hAnsi="黑体" w:eastAsia="黑体" w:cs="黑体"/>
          <w:lang w:val="en-US" w:eastAsia="zh-CN"/>
        </w:rPr>
        <w:t>E</w:t>
      </w:r>
      <w:r>
        <w:rPr>
          <w:rFonts w:hint="eastAsia" w:ascii="黑体" w:hAnsi="黑体" w:eastAsia="黑体" w:cs="黑体"/>
        </w:rPr>
        <w:t>.4  人体暴露或危险状态出现的频繁程度E</w:t>
      </w:r>
      <w:bookmarkEnd w:id="264"/>
      <w:bookmarkEnd w:id="265"/>
      <w:bookmarkEnd w:id="266"/>
    </w:p>
    <w:p w14:paraId="12D246AE">
      <w:pPr>
        <w:pStyle w:val="41"/>
        <w:ind w:firstLine="420"/>
      </w:pPr>
      <w:r>
        <w:t>人体暴露于危险</w:t>
      </w:r>
      <w:r>
        <w:rPr>
          <w:rFonts w:hint="eastAsia"/>
        </w:rPr>
        <w:t>状态</w:t>
      </w:r>
      <w:r>
        <w:t>的频繁程度越大，发生伤害事故的可能性越大</w:t>
      </w:r>
      <w:r>
        <w:rPr>
          <w:rFonts w:hint="eastAsia"/>
        </w:rPr>
        <w:t>；</w:t>
      </w:r>
      <w:r>
        <w:t>危险</w:t>
      </w:r>
      <w:r>
        <w:rPr>
          <w:rFonts w:hint="eastAsia"/>
        </w:rPr>
        <w:t>状态出现的频次</w:t>
      </w:r>
      <w:r>
        <w:t>越</w:t>
      </w:r>
      <w:r>
        <w:rPr>
          <w:rFonts w:hint="eastAsia"/>
        </w:rPr>
        <w:t>高，发生财产损失的</w:t>
      </w:r>
      <w:r>
        <w:t>可能性越大</w:t>
      </w:r>
      <w:r>
        <w:rPr>
          <w:rFonts w:hint="eastAsia"/>
        </w:rPr>
        <w:t>。</w:t>
      </w:r>
      <w:r>
        <w:t>人体暴露的频繁程度</w:t>
      </w:r>
      <w:r>
        <w:rPr>
          <w:rFonts w:hint="eastAsia"/>
        </w:rPr>
        <w:t>或</w:t>
      </w:r>
      <w:r>
        <w:t>危险</w:t>
      </w:r>
      <w:r>
        <w:rPr>
          <w:rFonts w:hint="eastAsia"/>
        </w:rPr>
        <w:t>状态出现的频次</w:t>
      </w:r>
      <w:r>
        <w:t>E的赋值见表</w:t>
      </w:r>
      <w:r>
        <w:rPr>
          <w:rFonts w:hint="eastAsia"/>
          <w:lang w:val="en-US" w:eastAsia="zh-CN"/>
        </w:rPr>
        <w:t>E</w:t>
      </w:r>
      <w:r>
        <w:rPr>
          <w:rFonts w:hint="eastAsia"/>
        </w:rPr>
        <w:t>.2</w:t>
      </w:r>
      <w:r>
        <w:t>。</w:t>
      </w:r>
    </w:p>
    <w:p w14:paraId="4EA014C2">
      <w:pPr>
        <w:pStyle w:val="79"/>
        <w:numPr>
          <w:ilvl w:val="0"/>
          <w:numId w:val="0"/>
        </w:numPr>
        <w:tabs>
          <w:tab w:val="left" w:pos="180"/>
        </w:tabs>
        <w:spacing w:before="156" w:after="156"/>
      </w:pPr>
      <w:r>
        <w:rPr>
          <w:rFonts w:hint="eastAsia"/>
        </w:rPr>
        <w:t>表</w:t>
      </w:r>
      <w:r>
        <w:rPr>
          <w:rFonts w:hint="eastAsia" w:ascii="黑体" w:hAnsi="黑体" w:eastAsia="黑体" w:cs="黑体"/>
          <w:lang w:val="en-US" w:eastAsia="zh-CN"/>
        </w:rPr>
        <w:t>E</w:t>
      </w:r>
      <w:r>
        <w:rPr>
          <w:rFonts w:hint="eastAsia"/>
        </w:rPr>
        <w:t>.2  人体暴露于危险状态的频繁程度或危险状态出现的频次（E）判定准则</w:t>
      </w:r>
    </w:p>
    <w:tbl>
      <w:tblPr>
        <w:tblStyle w:val="14"/>
        <w:tblW w:w="947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69"/>
        <w:gridCol w:w="3997"/>
        <w:gridCol w:w="4013"/>
      </w:tblGrid>
      <w:tr w14:paraId="092C97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08" w:hRule="atLeast"/>
          <w:jc w:val="center"/>
        </w:trPr>
        <w:tc>
          <w:tcPr>
            <w:tcW w:w="1469" w:type="dxa"/>
            <w:tcBorders>
              <w:top w:val="single" w:color="auto" w:sz="8" w:space="0"/>
              <w:left w:val="single" w:color="auto" w:sz="8" w:space="0"/>
            </w:tcBorders>
            <w:noWrap w:val="0"/>
            <w:vAlign w:val="center"/>
          </w:tcPr>
          <w:p w14:paraId="0BD58E24">
            <w:pPr>
              <w:pStyle w:val="8"/>
              <w:jc w:val="center"/>
              <w:rPr>
                <w:rFonts w:hAnsi="宋体" w:cs="宋体"/>
                <w:sz w:val="18"/>
                <w:szCs w:val="18"/>
              </w:rPr>
            </w:pPr>
            <w:r>
              <w:rPr>
                <w:rFonts w:hAnsi="宋体" w:cs="宋体"/>
                <w:sz w:val="18"/>
                <w:szCs w:val="18"/>
              </w:rPr>
              <w:t>分数值</w:t>
            </w:r>
          </w:p>
        </w:tc>
        <w:tc>
          <w:tcPr>
            <w:tcW w:w="3997" w:type="dxa"/>
            <w:tcBorders>
              <w:top w:val="single" w:color="auto" w:sz="8" w:space="0"/>
            </w:tcBorders>
            <w:noWrap w:val="0"/>
            <w:vAlign w:val="center"/>
          </w:tcPr>
          <w:p w14:paraId="2F19F459">
            <w:pPr>
              <w:pStyle w:val="8"/>
              <w:jc w:val="center"/>
              <w:rPr>
                <w:rFonts w:hAnsi="宋体" w:cs="宋体"/>
                <w:sz w:val="18"/>
                <w:szCs w:val="18"/>
              </w:rPr>
            </w:pPr>
            <w:r>
              <w:rPr>
                <w:rFonts w:hAnsi="宋体"/>
                <w:sz w:val="18"/>
                <w:szCs w:val="18"/>
              </w:rPr>
              <w:t>E</w:t>
            </w:r>
            <w:r>
              <w:rPr>
                <w:rFonts w:hint="eastAsia" w:hAnsi="宋体"/>
                <w:sz w:val="18"/>
                <w:szCs w:val="18"/>
                <w:vertAlign w:val="subscript"/>
              </w:rPr>
              <w:t>1</w:t>
            </w:r>
            <w:r>
              <w:rPr>
                <w:rFonts w:hint="eastAsia" w:hAnsi="宋体" w:cs="宋体"/>
                <w:sz w:val="18"/>
                <w:szCs w:val="18"/>
              </w:rPr>
              <w:t>（人身伤害</w:t>
            </w:r>
            <w:r>
              <w:rPr>
                <w:rFonts w:hint="eastAsia" w:hAnsi="宋体"/>
                <w:sz w:val="18"/>
                <w:szCs w:val="18"/>
              </w:rPr>
              <w:t>和职业相关病症</w:t>
            </w:r>
            <w:r>
              <w:rPr>
                <w:rFonts w:hint="eastAsia" w:hAnsi="宋体" w:cs="宋体"/>
                <w:sz w:val="18"/>
                <w:szCs w:val="18"/>
              </w:rPr>
              <w:t>）：</w:t>
            </w:r>
          </w:p>
          <w:p w14:paraId="0F1A0551">
            <w:pPr>
              <w:pStyle w:val="8"/>
              <w:jc w:val="center"/>
              <w:rPr>
                <w:rFonts w:hAnsi="宋体" w:cs="宋体"/>
                <w:sz w:val="18"/>
                <w:szCs w:val="18"/>
              </w:rPr>
            </w:pPr>
            <w:r>
              <w:rPr>
                <w:rFonts w:hAnsi="宋体" w:cs="宋体"/>
                <w:sz w:val="18"/>
                <w:szCs w:val="18"/>
              </w:rPr>
              <w:t>人体暴露于危险</w:t>
            </w:r>
            <w:r>
              <w:rPr>
                <w:rFonts w:hint="eastAsia" w:hAnsi="宋体" w:cs="宋体"/>
                <w:sz w:val="18"/>
                <w:szCs w:val="18"/>
              </w:rPr>
              <w:t>状态</w:t>
            </w:r>
            <w:r>
              <w:rPr>
                <w:rFonts w:hAnsi="宋体" w:cs="宋体"/>
                <w:sz w:val="18"/>
                <w:szCs w:val="18"/>
              </w:rPr>
              <w:t>的频繁程度</w:t>
            </w:r>
          </w:p>
        </w:tc>
        <w:tc>
          <w:tcPr>
            <w:tcW w:w="4013" w:type="dxa"/>
            <w:tcBorders>
              <w:top w:val="single" w:color="auto" w:sz="8" w:space="0"/>
              <w:right w:val="single" w:color="auto" w:sz="8" w:space="0"/>
            </w:tcBorders>
            <w:noWrap w:val="0"/>
            <w:vAlign w:val="center"/>
          </w:tcPr>
          <w:p w14:paraId="2A9D6228">
            <w:pPr>
              <w:pStyle w:val="8"/>
              <w:jc w:val="center"/>
              <w:rPr>
                <w:rFonts w:hAnsi="宋体" w:cs="宋体"/>
                <w:sz w:val="18"/>
                <w:szCs w:val="18"/>
              </w:rPr>
            </w:pPr>
            <w:r>
              <w:rPr>
                <w:rFonts w:hAnsi="宋体"/>
                <w:sz w:val="18"/>
                <w:szCs w:val="18"/>
              </w:rPr>
              <w:t>E</w:t>
            </w:r>
            <w:r>
              <w:rPr>
                <w:rFonts w:hint="eastAsia" w:hAnsi="宋体"/>
                <w:sz w:val="18"/>
                <w:szCs w:val="18"/>
                <w:vertAlign w:val="subscript"/>
              </w:rPr>
              <w:t>2</w:t>
            </w:r>
            <w:r>
              <w:rPr>
                <w:rFonts w:hint="eastAsia" w:hAnsi="宋体" w:cs="宋体"/>
                <w:sz w:val="18"/>
                <w:szCs w:val="18"/>
              </w:rPr>
              <w:t>（财产损失</w:t>
            </w:r>
            <w:r>
              <w:rPr>
                <w:rFonts w:hint="eastAsia" w:hAnsi="宋体"/>
                <w:sz w:val="18"/>
                <w:szCs w:val="18"/>
              </w:rPr>
              <w:t>和环境污染</w:t>
            </w:r>
            <w:r>
              <w:rPr>
                <w:rFonts w:hint="eastAsia" w:hAnsi="宋体" w:cs="宋体"/>
                <w:sz w:val="18"/>
                <w:szCs w:val="18"/>
              </w:rPr>
              <w:t>）：</w:t>
            </w:r>
          </w:p>
          <w:p w14:paraId="5836B260">
            <w:pPr>
              <w:pStyle w:val="8"/>
              <w:jc w:val="center"/>
              <w:rPr>
                <w:rFonts w:hAnsi="宋体" w:cs="宋体"/>
                <w:sz w:val="18"/>
                <w:szCs w:val="18"/>
              </w:rPr>
            </w:pPr>
            <w:r>
              <w:rPr>
                <w:rFonts w:hAnsi="宋体" w:cs="宋体"/>
                <w:sz w:val="18"/>
                <w:szCs w:val="18"/>
              </w:rPr>
              <w:t>危险</w:t>
            </w:r>
            <w:r>
              <w:rPr>
                <w:rFonts w:hint="eastAsia" w:hAnsi="宋体" w:cs="宋体"/>
                <w:sz w:val="18"/>
                <w:szCs w:val="18"/>
              </w:rPr>
              <w:t>状态出现的频次</w:t>
            </w:r>
          </w:p>
        </w:tc>
      </w:tr>
      <w:tr w14:paraId="56D743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469" w:type="dxa"/>
            <w:tcBorders>
              <w:top w:val="single" w:color="auto" w:sz="8" w:space="0"/>
              <w:left w:val="single" w:color="auto" w:sz="8" w:space="0"/>
            </w:tcBorders>
            <w:noWrap w:val="0"/>
            <w:vAlign w:val="center"/>
          </w:tcPr>
          <w:p w14:paraId="321236DA">
            <w:pPr>
              <w:pStyle w:val="8"/>
              <w:jc w:val="center"/>
              <w:rPr>
                <w:rFonts w:hAnsi="宋体" w:cs="宋体"/>
                <w:sz w:val="18"/>
                <w:szCs w:val="18"/>
              </w:rPr>
            </w:pPr>
            <w:r>
              <w:rPr>
                <w:rFonts w:hAnsi="宋体" w:cs="宋体"/>
                <w:sz w:val="18"/>
                <w:szCs w:val="18"/>
              </w:rPr>
              <w:t>10</w:t>
            </w:r>
          </w:p>
        </w:tc>
        <w:tc>
          <w:tcPr>
            <w:tcW w:w="3997" w:type="dxa"/>
            <w:tcBorders>
              <w:top w:val="single" w:color="auto" w:sz="8" w:space="0"/>
            </w:tcBorders>
            <w:noWrap w:val="0"/>
            <w:vAlign w:val="center"/>
          </w:tcPr>
          <w:p w14:paraId="1A544810">
            <w:pPr>
              <w:widowControl/>
              <w:jc w:val="center"/>
              <w:rPr>
                <w:rFonts w:ascii="宋体" w:hAnsi="宋体" w:cs="宋体"/>
                <w:sz w:val="18"/>
                <w:szCs w:val="18"/>
              </w:rPr>
            </w:pPr>
            <w:r>
              <w:rPr>
                <w:rFonts w:hint="eastAsia" w:ascii="宋体" w:hAnsi="宋体" w:cs="宋体"/>
                <w:sz w:val="18"/>
                <w:szCs w:val="18"/>
              </w:rPr>
              <w:t>连续暴露</w:t>
            </w:r>
          </w:p>
        </w:tc>
        <w:tc>
          <w:tcPr>
            <w:tcW w:w="4013" w:type="dxa"/>
            <w:tcBorders>
              <w:top w:val="single" w:color="auto" w:sz="8" w:space="0"/>
              <w:right w:val="single" w:color="auto" w:sz="8" w:space="0"/>
            </w:tcBorders>
            <w:noWrap w:val="0"/>
            <w:vAlign w:val="center"/>
          </w:tcPr>
          <w:p w14:paraId="730DA95B">
            <w:pPr>
              <w:widowControl/>
              <w:jc w:val="center"/>
              <w:rPr>
                <w:rFonts w:hAnsi="宋体" w:cs="宋体"/>
                <w:sz w:val="18"/>
                <w:szCs w:val="18"/>
              </w:rPr>
            </w:pPr>
            <w:r>
              <w:rPr>
                <w:rFonts w:hint="eastAsia" w:ascii="宋体" w:hAnsi="宋体" w:cs="宋体"/>
                <w:sz w:val="18"/>
                <w:szCs w:val="18"/>
              </w:rPr>
              <w:t>常态</w:t>
            </w:r>
          </w:p>
        </w:tc>
      </w:tr>
      <w:tr w14:paraId="2F37E1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469" w:type="dxa"/>
            <w:tcBorders>
              <w:left w:val="single" w:color="auto" w:sz="8" w:space="0"/>
            </w:tcBorders>
            <w:noWrap w:val="0"/>
            <w:vAlign w:val="center"/>
          </w:tcPr>
          <w:p w14:paraId="099644B1">
            <w:pPr>
              <w:pStyle w:val="8"/>
              <w:jc w:val="center"/>
              <w:rPr>
                <w:rFonts w:hAnsi="宋体" w:cs="宋体"/>
                <w:sz w:val="18"/>
                <w:szCs w:val="18"/>
              </w:rPr>
            </w:pPr>
            <w:r>
              <w:rPr>
                <w:rFonts w:hAnsi="宋体" w:cs="宋体"/>
                <w:sz w:val="18"/>
                <w:szCs w:val="18"/>
              </w:rPr>
              <w:t>6</w:t>
            </w:r>
          </w:p>
        </w:tc>
        <w:tc>
          <w:tcPr>
            <w:tcW w:w="3997" w:type="dxa"/>
            <w:noWrap w:val="0"/>
            <w:vAlign w:val="center"/>
          </w:tcPr>
          <w:p w14:paraId="6AC7CC47">
            <w:pPr>
              <w:widowControl/>
              <w:jc w:val="center"/>
              <w:rPr>
                <w:rFonts w:ascii="宋体" w:hAnsi="宋体" w:cs="宋体"/>
                <w:sz w:val="18"/>
                <w:szCs w:val="18"/>
              </w:rPr>
            </w:pPr>
            <w:r>
              <w:rPr>
                <w:rFonts w:hint="eastAsia" w:ascii="宋体" w:hAnsi="宋体" w:cs="宋体"/>
                <w:sz w:val="18"/>
                <w:szCs w:val="18"/>
              </w:rPr>
              <w:t>每天工作时间内暴露</w:t>
            </w:r>
          </w:p>
        </w:tc>
        <w:tc>
          <w:tcPr>
            <w:tcW w:w="4013" w:type="dxa"/>
            <w:tcBorders>
              <w:right w:val="single" w:color="auto" w:sz="8" w:space="0"/>
            </w:tcBorders>
            <w:noWrap w:val="0"/>
            <w:vAlign w:val="center"/>
          </w:tcPr>
          <w:p w14:paraId="6DF354E5">
            <w:pPr>
              <w:widowControl/>
              <w:jc w:val="center"/>
              <w:rPr>
                <w:rFonts w:ascii="宋体" w:hAnsi="宋体" w:cs="宋体"/>
                <w:sz w:val="18"/>
                <w:szCs w:val="18"/>
              </w:rPr>
            </w:pPr>
            <w:r>
              <w:rPr>
                <w:rFonts w:hint="eastAsia" w:ascii="宋体" w:hAnsi="宋体" w:cs="宋体"/>
                <w:sz w:val="18"/>
                <w:szCs w:val="18"/>
              </w:rPr>
              <w:t>每天工作时间出现</w:t>
            </w:r>
          </w:p>
        </w:tc>
      </w:tr>
      <w:tr w14:paraId="531ACE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469" w:type="dxa"/>
            <w:tcBorders>
              <w:left w:val="single" w:color="auto" w:sz="8" w:space="0"/>
            </w:tcBorders>
            <w:noWrap w:val="0"/>
            <w:vAlign w:val="center"/>
          </w:tcPr>
          <w:p w14:paraId="1988E851">
            <w:pPr>
              <w:pStyle w:val="8"/>
              <w:jc w:val="center"/>
              <w:rPr>
                <w:rFonts w:hAnsi="宋体" w:cs="宋体"/>
                <w:sz w:val="18"/>
                <w:szCs w:val="18"/>
              </w:rPr>
            </w:pPr>
            <w:r>
              <w:rPr>
                <w:rFonts w:hAnsi="宋体" w:cs="宋体"/>
                <w:sz w:val="18"/>
                <w:szCs w:val="18"/>
              </w:rPr>
              <w:t>3</w:t>
            </w:r>
          </w:p>
        </w:tc>
        <w:tc>
          <w:tcPr>
            <w:tcW w:w="3997" w:type="dxa"/>
            <w:noWrap w:val="0"/>
            <w:vAlign w:val="center"/>
          </w:tcPr>
          <w:p w14:paraId="17DD8248">
            <w:pPr>
              <w:widowControl/>
              <w:jc w:val="center"/>
              <w:rPr>
                <w:rFonts w:ascii="宋体" w:hAnsi="宋体" w:cs="宋体"/>
                <w:sz w:val="18"/>
                <w:szCs w:val="18"/>
              </w:rPr>
            </w:pPr>
            <w:r>
              <w:rPr>
                <w:rFonts w:ascii="宋体" w:hAnsi="宋体" w:cs="宋体"/>
                <w:sz w:val="18"/>
                <w:szCs w:val="18"/>
              </w:rPr>
              <w:t>每周一次，或偶然暴露</w:t>
            </w:r>
          </w:p>
        </w:tc>
        <w:tc>
          <w:tcPr>
            <w:tcW w:w="4013" w:type="dxa"/>
            <w:tcBorders>
              <w:right w:val="single" w:color="auto" w:sz="8" w:space="0"/>
            </w:tcBorders>
            <w:noWrap w:val="0"/>
            <w:vAlign w:val="center"/>
          </w:tcPr>
          <w:p w14:paraId="79886245">
            <w:pPr>
              <w:widowControl/>
              <w:jc w:val="center"/>
              <w:rPr>
                <w:rFonts w:ascii="宋体" w:hAnsi="宋体" w:cs="宋体"/>
                <w:sz w:val="18"/>
                <w:szCs w:val="18"/>
              </w:rPr>
            </w:pPr>
            <w:r>
              <w:rPr>
                <w:rFonts w:ascii="宋体" w:hAnsi="宋体" w:cs="宋体"/>
                <w:sz w:val="18"/>
                <w:szCs w:val="18"/>
              </w:rPr>
              <w:t>每周一次，或偶然</w:t>
            </w:r>
            <w:r>
              <w:rPr>
                <w:rFonts w:hint="eastAsia" w:ascii="宋体" w:hAnsi="宋体" w:cs="宋体"/>
                <w:sz w:val="18"/>
                <w:szCs w:val="18"/>
              </w:rPr>
              <w:t>出现</w:t>
            </w:r>
          </w:p>
        </w:tc>
      </w:tr>
      <w:tr w14:paraId="679367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469" w:type="dxa"/>
            <w:tcBorders>
              <w:left w:val="single" w:color="auto" w:sz="8" w:space="0"/>
            </w:tcBorders>
            <w:noWrap w:val="0"/>
            <w:vAlign w:val="center"/>
          </w:tcPr>
          <w:p w14:paraId="346258B4">
            <w:pPr>
              <w:pStyle w:val="8"/>
              <w:jc w:val="center"/>
              <w:rPr>
                <w:rFonts w:hAnsi="宋体" w:cs="宋体"/>
                <w:sz w:val="18"/>
                <w:szCs w:val="18"/>
              </w:rPr>
            </w:pPr>
            <w:r>
              <w:rPr>
                <w:rFonts w:hAnsi="宋体" w:cs="宋体"/>
                <w:sz w:val="18"/>
                <w:szCs w:val="18"/>
              </w:rPr>
              <w:t>2</w:t>
            </w:r>
          </w:p>
        </w:tc>
        <w:tc>
          <w:tcPr>
            <w:tcW w:w="3997" w:type="dxa"/>
            <w:noWrap w:val="0"/>
            <w:vAlign w:val="center"/>
          </w:tcPr>
          <w:p w14:paraId="5E3C8086">
            <w:pPr>
              <w:widowControl/>
              <w:jc w:val="center"/>
              <w:rPr>
                <w:rFonts w:ascii="宋体" w:hAnsi="宋体" w:cs="宋体"/>
                <w:sz w:val="18"/>
                <w:szCs w:val="18"/>
              </w:rPr>
            </w:pPr>
            <w:r>
              <w:rPr>
                <w:rFonts w:ascii="宋体" w:hAnsi="宋体" w:cs="宋体"/>
                <w:sz w:val="18"/>
                <w:szCs w:val="18"/>
              </w:rPr>
              <w:t>每月一次暴露</w:t>
            </w:r>
          </w:p>
        </w:tc>
        <w:tc>
          <w:tcPr>
            <w:tcW w:w="4013" w:type="dxa"/>
            <w:tcBorders>
              <w:right w:val="single" w:color="auto" w:sz="8" w:space="0"/>
            </w:tcBorders>
            <w:noWrap w:val="0"/>
            <w:vAlign w:val="center"/>
          </w:tcPr>
          <w:p w14:paraId="150CFCD9">
            <w:pPr>
              <w:widowControl/>
              <w:jc w:val="center"/>
              <w:rPr>
                <w:rFonts w:ascii="宋体" w:hAnsi="宋体" w:cs="宋体"/>
                <w:sz w:val="18"/>
                <w:szCs w:val="18"/>
              </w:rPr>
            </w:pPr>
            <w:r>
              <w:rPr>
                <w:rFonts w:ascii="宋体" w:hAnsi="宋体" w:cs="宋体"/>
                <w:sz w:val="18"/>
                <w:szCs w:val="18"/>
              </w:rPr>
              <w:t>每月一次</w:t>
            </w:r>
            <w:r>
              <w:rPr>
                <w:rFonts w:hint="eastAsia" w:ascii="宋体" w:hAnsi="宋体" w:cs="宋体"/>
                <w:sz w:val="18"/>
                <w:szCs w:val="18"/>
              </w:rPr>
              <w:t>出现</w:t>
            </w:r>
          </w:p>
        </w:tc>
      </w:tr>
      <w:tr w14:paraId="125E29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469" w:type="dxa"/>
            <w:tcBorders>
              <w:left w:val="single" w:color="auto" w:sz="8" w:space="0"/>
            </w:tcBorders>
            <w:noWrap w:val="0"/>
            <w:vAlign w:val="center"/>
          </w:tcPr>
          <w:p w14:paraId="69F484EB">
            <w:pPr>
              <w:pStyle w:val="8"/>
              <w:jc w:val="center"/>
              <w:rPr>
                <w:rFonts w:hAnsi="宋体" w:cs="宋体"/>
                <w:sz w:val="18"/>
                <w:szCs w:val="18"/>
              </w:rPr>
            </w:pPr>
            <w:r>
              <w:rPr>
                <w:rFonts w:hAnsi="宋体" w:cs="宋体"/>
                <w:sz w:val="18"/>
                <w:szCs w:val="18"/>
              </w:rPr>
              <w:t>1</w:t>
            </w:r>
          </w:p>
        </w:tc>
        <w:tc>
          <w:tcPr>
            <w:tcW w:w="3997" w:type="dxa"/>
            <w:noWrap w:val="0"/>
            <w:vAlign w:val="center"/>
          </w:tcPr>
          <w:p w14:paraId="41C5B4FE">
            <w:pPr>
              <w:widowControl/>
              <w:jc w:val="center"/>
              <w:rPr>
                <w:rFonts w:ascii="宋体" w:hAnsi="宋体" w:cs="宋体"/>
                <w:sz w:val="18"/>
                <w:szCs w:val="18"/>
              </w:rPr>
            </w:pPr>
            <w:r>
              <w:rPr>
                <w:rFonts w:ascii="宋体" w:hAnsi="宋体" w:cs="宋体"/>
                <w:sz w:val="18"/>
                <w:szCs w:val="18"/>
              </w:rPr>
              <w:t>每年几次暴露</w:t>
            </w:r>
          </w:p>
        </w:tc>
        <w:tc>
          <w:tcPr>
            <w:tcW w:w="4013" w:type="dxa"/>
            <w:tcBorders>
              <w:right w:val="single" w:color="auto" w:sz="8" w:space="0"/>
            </w:tcBorders>
            <w:noWrap w:val="0"/>
            <w:vAlign w:val="center"/>
          </w:tcPr>
          <w:p w14:paraId="697CA541">
            <w:pPr>
              <w:widowControl/>
              <w:jc w:val="center"/>
              <w:rPr>
                <w:rFonts w:ascii="宋体" w:hAnsi="宋体" w:cs="宋体"/>
                <w:sz w:val="18"/>
                <w:szCs w:val="18"/>
              </w:rPr>
            </w:pPr>
            <w:r>
              <w:rPr>
                <w:rFonts w:ascii="宋体" w:hAnsi="宋体" w:cs="宋体"/>
                <w:sz w:val="18"/>
                <w:szCs w:val="18"/>
              </w:rPr>
              <w:t>每年几次</w:t>
            </w:r>
            <w:r>
              <w:rPr>
                <w:rFonts w:hint="eastAsia" w:ascii="宋体" w:hAnsi="宋体" w:cs="宋体"/>
                <w:sz w:val="18"/>
                <w:szCs w:val="18"/>
              </w:rPr>
              <w:t>出现</w:t>
            </w:r>
          </w:p>
        </w:tc>
      </w:tr>
      <w:tr w14:paraId="73CB24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469" w:type="dxa"/>
            <w:tcBorders>
              <w:left w:val="single" w:color="auto" w:sz="8" w:space="0"/>
            </w:tcBorders>
            <w:noWrap w:val="0"/>
            <w:vAlign w:val="center"/>
          </w:tcPr>
          <w:p w14:paraId="208A097A">
            <w:pPr>
              <w:pStyle w:val="8"/>
              <w:jc w:val="center"/>
              <w:rPr>
                <w:rFonts w:hAnsi="宋体" w:cs="宋体"/>
                <w:sz w:val="18"/>
                <w:szCs w:val="18"/>
              </w:rPr>
            </w:pPr>
            <w:r>
              <w:rPr>
                <w:rFonts w:hAnsi="宋体" w:cs="宋体"/>
                <w:sz w:val="18"/>
                <w:szCs w:val="18"/>
              </w:rPr>
              <w:t>0.5</w:t>
            </w:r>
          </w:p>
        </w:tc>
        <w:tc>
          <w:tcPr>
            <w:tcW w:w="3997" w:type="dxa"/>
            <w:noWrap w:val="0"/>
            <w:vAlign w:val="center"/>
          </w:tcPr>
          <w:p w14:paraId="52C23734">
            <w:pPr>
              <w:widowControl/>
              <w:jc w:val="center"/>
              <w:rPr>
                <w:rFonts w:ascii="宋体" w:hAnsi="宋体" w:cs="宋体"/>
                <w:sz w:val="18"/>
                <w:szCs w:val="18"/>
              </w:rPr>
            </w:pPr>
            <w:r>
              <w:rPr>
                <w:rFonts w:ascii="宋体" w:hAnsi="宋体" w:cs="宋体"/>
                <w:sz w:val="18"/>
                <w:szCs w:val="18"/>
              </w:rPr>
              <w:t>更少的暴露</w:t>
            </w:r>
          </w:p>
        </w:tc>
        <w:tc>
          <w:tcPr>
            <w:tcW w:w="4013" w:type="dxa"/>
            <w:tcBorders>
              <w:right w:val="single" w:color="auto" w:sz="8" w:space="0"/>
            </w:tcBorders>
            <w:noWrap w:val="0"/>
            <w:vAlign w:val="center"/>
          </w:tcPr>
          <w:p w14:paraId="0DBF5331">
            <w:pPr>
              <w:widowControl/>
              <w:jc w:val="center"/>
              <w:rPr>
                <w:rFonts w:ascii="宋体" w:hAnsi="宋体" w:cs="宋体"/>
                <w:sz w:val="18"/>
                <w:szCs w:val="18"/>
              </w:rPr>
            </w:pPr>
            <w:r>
              <w:rPr>
                <w:rFonts w:ascii="宋体" w:hAnsi="宋体" w:cs="宋体"/>
                <w:sz w:val="18"/>
                <w:szCs w:val="18"/>
              </w:rPr>
              <w:t>更少的</w:t>
            </w:r>
            <w:r>
              <w:rPr>
                <w:rFonts w:hint="eastAsia" w:ascii="宋体" w:hAnsi="宋体" w:cs="宋体"/>
                <w:sz w:val="18"/>
                <w:szCs w:val="18"/>
              </w:rPr>
              <w:t>出现</w:t>
            </w:r>
          </w:p>
        </w:tc>
      </w:tr>
      <w:tr w14:paraId="0A1D07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21" w:hRule="atLeast"/>
          <w:jc w:val="center"/>
        </w:trPr>
        <w:tc>
          <w:tcPr>
            <w:tcW w:w="9479" w:type="dxa"/>
            <w:gridSpan w:val="3"/>
            <w:tcBorders>
              <w:left w:val="single" w:color="auto" w:sz="8" w:space="0"/>
              <w:bottom w:val="single" w:color="auto" w:sz="8" w:space="0"/>
              <w:right w:val="single" w:color="auto" w:sz="8" w:space="0"/>
            </w:tcBorders>
            <w:noWrap w:val="0"/>
            <w:vAlign w:val="center"/>
          </w:tcPr>
          <w:p w14:paraId="5B795B8A">
            <w:pPr>
              <w:pStyle w:val="8"/>
              <w:rPr>
                <w:rFonts w:hAnsi="宋体" w:cs="宋体"/>
                <w:sz w:val="18"/>
                <w:szCs w:val="18"/>
              </w:rPr>
            </w:pPr>
            <w:r>
              <w:rPr>
                <w:rFonts w:hint="eastAsia" w:hAnsi="宋体" w:cs="宋体"/>
                <w:sz w:val="18"/>
                <w:szCs w:val="18"/>
              </w:rPr>
              <w:t>注1：</w:t>
            </w:r>
            <w:r>
              <w:rPr>
                <w:rFonts w:hAnsi="宋体" w:cs="宋体"/>
                <w:sz w:val="18"/>
                <w:szCs w:val="18"/>
              </w:rPr>
              <w:t>8小时不离工作岗位，算“连续暴露”；危险</w:t>
            </w:r>
            <w:r>
              <w:rPr>
                <w:rFonts w:hint="eastAsia" w:hAnsi="宋体" w:cs="宋体"/>
                <w:sz w:val="18"/>
                <w:szCs w:val="18"/>
              </w:rPr>
              <w:t>状态常存，</w:t>
            </w:r>
            <w:r>
              <w:rPr>
                <w:rFonts w:hAnsi="宋体" w:cs="宋体"/>
                <w:sz w:val="18"/>
                <w:szCs w:val="18"/>
              </w:rPr>
              <w:t>算“</w:t>
            </w:r>
            <w:r>
              <w:rPr>
                <w:rFonts w:hint="eastAsia" w:hAnsi="宋体" w:cs="宋体"/>
                <w:sz w:val="18"/>
                <w:szCs w:val="18"/>
              </w:rPr>
              <w:t>常态</w:t>
            </w:r>
            <w:r>
              <w:rPr>
                <w:rFonts w:hAnsi="宋体" w:cs="宋体"/>
                <w:sz w:val="18"/>
                <w:szCs w:val="18"/>
              </w:rPr>
              <w:t>”</w:t>
            </w:r>
            <w:r>
              <w:rPr>
                <w:rFonts w:hint="eastAsia" w:hAnsi="宋体" w:cs="宋体"/>
                <w:sz w:val="18"/>
                <w:szCs w:val="18"/>
              </w:rPr>
              <w:t>。</w:t>
            </w:r>
          </w:p>
          <w:p w14:paraId="1B89AC19">
            <w:pPr>
              <w:widowControl/>
              <w:rPr>
                <w:rFonts w:ascii="宋体" w:hAnsi="宋体" w:cs="宋体"/>
                <w:sz w:val="18"/>
                <w:szCs w:val="18"/>
              </w:rPr>
            </w:pPr>
            <w:r>
              <w:rPr>
                <w:rFonts w:hint="eastAsia" w:ascii="宋体" w:hAnsi="宋体" w:cs="宋体"/>
                <w:sz w:val="18"/>
                <w:szCs w:val="18"/>
              </w:rPr>
              <w:t>注2：</w:t>
            </w:r>
            <w:r>
              <w:rPr>
                <w:rFonts w:ascii="宋体" w:hAnsi="宋体" w:cs="宋体"/>
                <w:sz w:val="18"/>
                <w:szCs w:val="18"/>
              </w:rPr>
              <w:t>8小时内暴露一至几次，算“每天工作时间暴露”</w:t>
            </w:r>
            <w:r>
              <w:rPr>
                <w:rFonts w:hint="eastAsia" w:ascii="宋体" w:hAnsi="宋体" w:cs="宋体"/>
                <w:sz w:val="18"/>
                <w:szCs w:val="18"/>
              </w:rPr>
              <w:t>；</w:t>
            </w:r>
            <w:r>
              <w:rPr>
                <w:rFonts w:ascii="宋体" w:hAnsi="宋体" w:cs="宋体"/>
                <w:sz w:val="18"/>
                <w:szCs w:val="18"/>
              </w:rPr>
              <w:t>危险</w:t>
            </w:r>
            <w:r>
              <w:rPr>
                <w:rFonts w:hint="eastAsia" w:ascii="宋体" w:hAnsi="宋体" w:cs="宋体"/>
                <w:sz w:val="18"/>
                <w:szCs w:val="18"/>
              </w:rPr>
              <w:t>状态出现</w:t>
            </w:r>
            <w:r>
              <w:rPr>
                <w:rFonts w:ascii="宋体" w:hAnsi="宋体" w:cs="宋体"/>
                <w:sz w:val="18"/>
                <w:szCs w:val="18"/>
              </w:rPr>
              <w:t>一至几次，算“每天工作时间</w:t>
            </w:r>
            <w:r>
              <w:rPr>
                <w:rFonts w:hint="eastAsia" w:ascii="宋体" w:hAnsi="宋体" w:cs="宋体"/>
                <w:sz w:val="18"/>
                <w:szCs w:val="18"/>
              </w:rPr>
              <w:t>出现</w:t>
            </w:r>
            <w:r>
              <w:rPr>
                <w:rFonts w:ascii="宋体" w:hAnsi="宋体" w:cs="宋体"/>
                <w:sz w:val="18"/>
                <w:szCs w:val="18"/>
              </w:rPr>
              <w:t>”。</w:t>
            </w:r>
          </w:p>
        </w:tc>
      </w:tr>
    </w:tbl>
    <w:p w14:paraId="34EBDFC5">
      <w:pPr>
        <w:rPr>
          <w:rFonts w:hint="eastAsia" w:ascii="黑体" w:hAnsi="黑体" w:eastAsia="黑体" w:cs="黑体"/>
          <w:lang w:val="en-US" w:eastAsia="zh-CN"/>
        </w:rPr>
        <w:sectPr>
          <w:pgSz w:w="11900" w:h="16840"/>
          <w:pgMar w:top="561" w:right="1134" w:bottom="561" w:left="1418" w:header="1418" w:footer="720" w:gutter="0"/>
          <w:pgNumType w:fmt="decimal"/>
          <w:cols w:space="720" w:num="1"/>
          <w:docGrid w:linePitch="286" w:charSpace="0"/>
        </w:sectPr>
      </w:pPr>
      <w:bookmarkStart w:id="267" w:name="_Toc10353"/>
      <w:bookmarkStart w:id="268" w:name="_Toc22419"/>
      <w:bookmarkStart w:id="269" w:name="_Toc30978"/>
      <w:bookmarkStart w:id="270" w:name="_Toc581"/>
      <w:bookmarkStart w:id="271" w:name="_Toc29038"/>
    </w:p>
    <w:p w14:paraId="22166EB6">
      <w:pPr>
        <w:rPr>
          <w:rFonts w:hint="eastAsia" w:ascii="黑体" w:hAnsi="黑体" w:eastAsia="黑体" w:cs="黑体"/>
        </w:rPr>
      </w:pPr>
      <w:r>
        <w:rPr>
          <w:rFonts w:hint="eastAsia" w:ascii="黑体" w:hAnsi="黑体" w:eastAsia="黑体" w:cs="黑体"/>
          <w:lang w:val="en-US" w:eastAsia="zh-CN"/>
        </w:rPr>
        <w:t>E</w:t>
      </w:r>
      <w:r>
        <w:rPr>
          <w:rFonts w:hint="eastAsia" w:ascii="黑体" w:hAnsi="黑体" w:eastAsia="黑体" w:cs="黑体"/>
        </w:rPr>
        <w:t>.5  事故的可能后果S</w:t>
      </w:r>
      <w:bookmarkEnd w:id="267"/>
      <w:bookmarkEnd w:id="268"/>
      <w:bookmarkEnd w:id="269"/>
      <w:bookmarkEnd w:id="270"/>
      <w:bookmarkEnd w:id="271"/>
    </w:p>
    <w:p w14:paraId="0F732A70">
      <w:pPr>
        <w:pStyle w:val="41"/>
        <w:ind w:firstLine="420"/>
      </w:pPr>
      <w:r>
        <w:t>表</w:t>
      </w:r>
      <w:r>
        <w:rPr>
          <w:rFonts w:hint="eastAsia"/>
          <w:lang w:val="en-US" w:eastAsia="zh-CN"/>
        </w:rPr>
        <w:t>E</w:t>
      </w:r>
      <w:r>
        <w:rPr>
          <w:rFonts w:hint="eastAsia"/>
        </w:rPr>
        <w:t>.3</w:t>
      </w:r>
      <w:r>
        <w:t>表示按伤害、职业相关病症、财产损失、环境影响等方面不同事故后果的分档赋值。</w:t>
      </w:r>
    </w:p>
    <w:p w14:paraId="10AFE3B3">
      <w:pPr>
        <w:pStyle w:val="79"/>
        <w:numPr>
          <w:ilvl w:val="0"/>
          <w:numId w:val="0"/>
        </w:numPr>
        <w:tabs>
          <w:tab w:val="left" w:pos="180"/>
        </w:tabs>
        <w:spacing w:before="156" w:after="156"/>
      </w:pPr>
      <w:r>
        <w:rPr>
          <w:rFonts w:hint="eastAsia"/>
        </w:rPr>
        <w:t>表</w:t>
      </w:r>
      <w:r>
        <w:rPr>
          <w:rFonts w:hint="eastAsia" w:ascii="黑体" w:hAnsi="黑体" w:eastAsia="黑体" w:cs="黑体"/>
          <w:lang w:val="en-US" w:eastAsia="zh-CN"/>
        </w:rPr>
        <w:t>E</w:t>
      </w:r>
      <w:r>
        <w:rPr>
          <w:rFonts w:hint="eastAsia"/>
        </w:rPr>
        <w:t>.3  事故的可能后果严重性（S）判定准则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64"/>
        <w:gridCol w:w="1823"/>
        <w:gridCol w:w="1640"/>
        <w:gridCol w:w="1707"/>
        <w:gridCol w:w="3105"/>
      </w:tblGrid>
      <w:tr w14:paraId="2D50E9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71" w:hRule="atLeast"/>
          <w:jc w:val="center"/>
        </w:trPr>
        <w:tc>
          <w:tcPr>
            <w:tcW w:w="1064" w:type="dxa"/>
            <w:vMerge w:val="restart"/>
            <w:tcBorders>
              <w:top w:val="single" w:color="auto" w:sz="8" w:space="0"/>
              <w:left w:val="single" w:color="auto" w:sz="8" w:space="0"/>
            </w:tcBorders>
            <w:noWrap w:val="0"/>
            <w:vAlign w:val="center"/>
          </w:tcPr>
          <w:p w14:paraId="78725FC8">
            <w:pPr>
              <w:pStyle w:val="8"/>
              <w:adjustRightInd w:val="0"/>
              <w:snapToGrid w:val="0"/>
              <w:jc w:val="center"/>
              <w:rPr>
                <w:rFonts w:hAnsi="宋体" w:cs="宋体"/>
                <w:sz w:val="18"/>
                <w:szCs w:val="18"/>
              </w:rPr>
            </w:pPr>
            <w:r>
              <w:rPr>
                <w:rFonts w:hAnsi="宋体" w:cs="宋体"/>
                <w:sz w:val="18"/>
                <w:szCs w:val="18"/>
              </w:rPr>
              <w:t>分数值</w:t>
            </w:r>
          </w:p>
        </w:tc>
        <w:tc>
          <w:tcPr>
            <w:tcW w:w="8275" w:type="dxa"/>
            <w:gridSpan w:val="4"/>
            <w:tcBorders>
              <w:top w:val="single" w:color="auto" w:sz="8" w:space="0"/>
              <w:right w:val="single" w:color="auto" w:sz="8" w:space="0"/>
            </w:tcBorders>
            <w:noWrap w:val="0"/>
            <w:vAlign w:val="center"/>
          </w:tcPr>
          <w:p w14:paraId="095AD900">
            <w:pPr>
              <w:pStyle w:val="8"/>
              <w:adjustRightInd w:val="0"/>
              <w:snapToGrid w:val="0"/>
              <w:jc w:val="center"/>
              <w:rPr>
                <w:rFonts w:hAnsi="宋体" w:cs="宋体"/>
                <w:sz w:val="18"/>
                <w:szCs w:val="18"/>
              </w:rPr>
            </w:pPr>
            <w:r>
              <w:rPr>
                <w:rFonts w:hAnsi="宋体" w:cs="宋体"/>
                <w:sz w:val="18"/>
                <w:szCs w:val="18"/>
              </w:rPr>
              <w:t>事故的可能后果</w:t>
            </w:r>
          </w:p>
        </w:tc>
      </w:tr>
      <w:tr w14:paraId="23727F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1064" w:type="dxa"/>
            <w:vMerge w:val="continue"/>
            <w:tcBorders>
              <w:left w:val="single" w:color="auto" w:sz="8" w:space="0"/>
            </w:tcBorders>
            <w:noWrap w:val="0"/>
            <w:vAlign w:val="center"/>
          </w:tcPr>
          <w:p w14:paraId="2CC6043E">
            <w:pPr>
              <w:pStyle w:val="8"/>
              <w:adjustRightInd w:val="0"/>
              <w:snapToGrid w:val="0"/>
              <w:jc w:val="center"/>
              <w:rPr>
                <w:rFonts w:hAnsi="宋体" w:cs="宋体"/>
                <w:sz w:val="18"/>
                <w:szCs w:val="18"/>
              </w:rPr>
            </w:pPr>
          </w:p>
        </w:tc>
        <w:tc>
          <w:tcPr>
            <w:tcW w:w="1823" w:type="dxa"/>
            <w:noWrap w:val="0"/>
            <w:vAlign w:val="center"/>
          </w:tcPr>
          <w:p w14:paraId="0DB1EDAE">
            <w:pPr>
              <w:pStyle w:val="8"/>
              <w:adjustRightInd w:val="0"/>
              <w:snapToGrid w:val="0"/>
              <w:jc w:val="center"/>
              <w:rPr>
                <w:rFonts w:hAnsi="宋体" w:cs="宋体"/>
                <w:sz w:val="18"/>
                <w:szCs w:val="18"/>
              </w:rPr>
            </w:pPr>
            <w:r>
              <w:rPr>
                <w:rFonts w:hAnsi="宋体" w:cs="宋体"/>
                <w:sz w:val="18"/>
                <w:szCs w:val="18"/>
              </w:rPr>
              <w:t>伤害</w:t>
            </w:r>
          </w:p>
        </w:tc>
        <w:tc>
          <w:tcPr>
            <w:tcW w:w="1640" w:type="dxa"/>
            <w:noWrap w:val="0"/>
            <w:vAlign w:val="center"/>
          </w:tcPr>
          <w:p w14:paraId="46A8E62A">
            <w:pPr>
              <w:pStyle w:val="8"/>
              <w:adjustRightInd w:val="0"/>
              <w:snapToGrid w:val="0"/>
              <w:jc w:val="center"/>
              <w:rPr>
                <w:rFonts w:hAnsi="宋体" w:cs="宋体"/>
                <w:sz w:val="18"/>
                <w:szCs w:val="18"/>
              </w:rPr>
            </w:pPr>
            <w:r>
              <w:rPr>
                <w:rFonts w:hAnsi="宋体" w:cs="宋体"/>
                <w:sz w:val="18"/>
                <w:szCs w:val="18"/>
              </w:rPr>
              <w:t>职业相关病症</w:t>
            </w:r>
          </w:p>
        </w:tc>
        <w:tc>
          <w:tcPr>
            <w:tcW w:w="1707" w:type="dxa"/>
            <w:noWrap w:val="0"/>
            <w:vAlign w:val="center"/>
          </w:tcPr>
          <w:p w14:paraId="60929851">
            <w:pPr>
              <w:pStyle w:val="8"/>
              <w:adjustRightInd w:val="0"/>
              <w:snapToGrid w:val="0"/>
              <w:jc w:val="center"/>
              <w:rPr>
                <w:rFonts w:hAnsi="宋体" w:cs="宋体"/>
                <w:sz w:val="18"/>
                <w:szCs w:val="18"/>
              </w:rPr>
            </w:pPr>
            <w:r>
              <w:rPr>
                <w:rFonts w:hAnsi="宋体" w:cs="宋体"/>
                <w:sz w:val="18"/>
                <w:szCs w:val="18"/>
              </w:rPr>
              <w:t>财产损失</w:t>
            </w:r>
            <w:r>
              <w:rPr>
                <w:rFonts w:hint="eastAsia" w:hAnsi="宋体" w:cs="宋体"/>
                <w:sz w:val="18"/>
                <w:szCs w:val="18"/>
              </w:rPr>
              <w:t>（元）</w:t>
            </w:r>
          </w:p>
        </w:tc>
        <w:tc>
          <w:tcPr>
            <w:tcW w:w="3105" w:type="dxa"/>
            <w:tcBorders>
              <w:right w:val="single" w:color="auto" w:sz="8" w:space="0"/>
            </w:tcBorders>
            <w:noWrap w:val="0"/>
            <w:vAlign w:val="center"/>
          </w:tcPr>
          <w:p w14:paraId="7D3CE1F5">
            <w:pPr>
              <w:pStyle w:val="8"/>
              <w:adjustRightInd w:val="0"/>
              <w:snapToGrid w:val="0"/>
              <w:jc w:val="center"/>
              <w:rPr>
                <w:rFonts w:hAnsi="宋体" w:cs="宋体"/>
                <w:sz w:val="18"/>
                <w:szCs w:val="18"/>
              </w:rPr>
            </w:pPr>
            <w:r>
              <w:rPr>
                <w:rFonts w:hAnsi="宋体" w:cs="宋体"/>
                <w:sz w:val="18"/>
                <w:szCs w:val="18"/>
              </w:rPr>
              <w:t>环境影响</w:t>
            </w:r>
          </w:p>
        </w:tc>
      </w:tr>
      <w:tr w14:paraId="3AAEE4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6" w:hRule="atLeast"/>
          <w:jc w:val="center"/>
        </w:trPr>
        <w:tc>
          <w:tcPr>
            <w:tcW w:w="1064" w:type="dxa"/>
            <w:tcBorders>
              <w:top w:val="single" w:color="auto" w:sz="8" w:space="0"/>
              <w:left w:val="single" w:color="auto" w:sz="8" w:space="0"/>
            </w:tcBorders>
            <w:noWrap w:val="0"/>
            <w:vAlign w:val="center"/>
          </w:tcPr>
          <w:p w14:paraId="63E5100D">
            <w:pPr>
              <w:pStyle w:val="8"/>
              <w:adjustRightInd w:val="0"/>
              <w:snapToGrid w:val="0"/>
              <w:jc w:val="center"/>
              <w:rPr>
                <w:rFonts w:hAnsi="宋体" w:cs="宋体"/>
                <w:sz w:val="18"/>
                <w:szCs w:val="18"/>
              </w:rPr>
            </w:pPr>
            <w:r>
              <w:rPr>
                <w:rFonts w:hAnsi="宋体" w:cs="宋体"/>
                <w:sz w:val="18"/>
                <w:szCs w:val="18"/>
              </w:rPr>
              <w:t>10</w:t>
            </w:r>
          </w:p>
        </w:tc>
        <w:tc>
          <w:tcPr>
            <w:tcW w:w="1823" w:type="dxa"/>
            <w:tcBorders>
              <w:top w:val="single" w:color="auto" w:sz="8" w:space="0"/>
            </w:tcBorders>
            <w:noWrap w:val="0"/>
            <w:vAlign w:val="center"/>
          </w:tcPr>
          <w:p w14:paraId="3B432720">
            <w:pPr>
              <w:pStyle w:val="8"/>
              <w:adjustRightInd w:val="0"/>
              <w:snapToGrid w:val="0"/>
              <w:rPr>
                <w:rFonts w:hAnsi="宋体" w:cs="宋体"/>
                <w:sz w:val="18"/>
                <w:szCs w:val="18"/>
              </w:rPr>
            </w:pPr>
            <w:r>
              <w:rPr>
                <w:rFonts w:hAnsi="宋体" w:cs="宋体"/>
                <w:sz w:val="18"/>
                <w:szCs w:val="18"/>
              </w:rPr>
              <w:t>有多人死亡</w:t>
            </w:r>
          </w:p>
        </w:tc>
        <w:tc>
          <w:tcPr>
            <w:tcW w:w="1640" w:type="dxa"/>
            <w:tcBorders>
              <w:top w:val="single" w:color="auto" w:sz="8" w:space="0"/>
            </w:tcBorders>
            <w:noWrap w:val="0"/>
            <w:vAlign w:val="center"/>
          </w:tcPr>
          <w:p w14:paraId="48CAE8C6">
            <w:pPr>
              <w:widowControl/>
              <w:adjustRightInd w:val="0"/>
              <w:snapToGrid w:val="0"/>
              <w:rPr>
                <w:rFonts w:ascii="宋体" w:hAnsi="宋体" w:cs="宋体"/>
                <w:sz w:val="18"/>
                <w:szCs w:val="18"/>
              </w:rPr>
            </w:pPr>
          </w:p>
        </w:tc>
        <w:tc>
          <w:tcPr>
            <w:tcW w:w="1707" w:type="dxa"/>
            <w:tcBorders>
              <w:top w:val="single" w:color="auto" w:sz="8" w:space="0"/>
            </w:tcBorders>
            <w:noWrap w:val="0"/>
            <w:vAlign w:val="center"/>
          </w:tcPr>
          <w:p w14:paraId="4E3685F9">
            <w:pPr>
              <w:widowControl/>
              <w:adjustRightInd w:val="0"/>
              <w:snapToGrid w:val="0"/>
              <w:rPr>
                <w:rFonts w:ascii="宋体" w:hAnsi="宋体" w:cs="宋体"/>
                <w:sz w:val="18"/>
                <w:szCs w:val="18"/>
              </w:rPr>
            </w:pPr>
            <w:r>
              <w:rPr>
                <w:rFonts w:ascii="宋体" w:hAnsi="宋体" w:cs="宋体"/>
                <w:sz w:val="18"/>
                <w:szCs w:val="18"/>
              </w:rPr>
              <w:t>＞</w:t>
            </w:r>
            <w:r>
              <w:rPr>
                <w:rFonts w:hint="eastAsia" w:ascii="宋体" w:hAnsi="宋体" w:cs="宋体"/>
                <w:sz w:val="18"/>
                <w:szCs w:val="18"/>
              </w:rPr>
              <w:t>1千万</w:t>
            </w:r>
          </w:p>
        </w:tc>
        <w:tc>
          <w:tcPr>
            <w:tcW w:w="3105" w:type="dxa"/>
            <w:tcBorders>
              <w:top w:val="single" w:color="auto" w:sz="8" w:space="0"/>
              <w:right w:val="single" w:color="auto" w:sz="8" w:space="0"/>
            </w:tcBorders>
            <w:noWrap w:val="0"/>
            <w:vAlign w:val="center"/>
          </w:tcPr>
          <w:p w14:paraId="22AD3CE5">
            <w:pPr>
              <w:widowControl/>
              <w:adjustRightInd w:val="0"/>
              <w:snapToGrid w:val="0"/>
              <w:jc w:val="center"/>
              <w:rPr>
                <w:rFonts w:ascii="宋体" w:hAnsi="宋体" w:cs="宋体"/>
                <w:sz w:val="18"/>
                <w:szCs w:val="18"/>
              </w:rPr>
            </w:pPr>
            <w:r>
              <w:rPr>
                <w:rFonts w:hint="eastAsia" w:ascii="宋体" w:hAnsi="宋体" w:cs="宋体"/>
                <w:sz w:val="18"/>
                <w:szCs w:val="18"/>
              </w:rPr>
              <w:t>有重大环境影响</w:t>
            </w:r>
          </w:p>
        </w:tc>
      </w:tr>
      <w:tr w14:paraId="73BC0B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41" w:hRule="atLeast"/>
          <w:jc w:val="center"/>
        </w:trPr>
        <w:tc>
          <w:tcPr>
            <w:tcW w:w="1064" w:type="dxa"/>
            <w:tcBorders>
              <w:left w:val="single" w:color="auto" w:sz="8" w:space="0"/>
            </w:tcBorders>
            <w:noWrap w:val="0"/>
            <w:vAlign w:val="center"/>
          </w:tcPr>
          <w:p w14:paraId="11060541">
            <w:pPr>
              <w:pStyle w:val="8"/>
              <w:adjustRightInd w:val="0"/>
              <w:snapToGrid w:val="0"/>
              <w:jc w:val="center"/>
              <w:rPr>
                <w:rFonts w:hAnsi="宋体" w:cs="宋体"/>
                <w:sz w:val="18"/>
                <w:szCs w:val="18"/>
              </w:rPr>
            </w:pPr>
            <w:r>
              <w:rPr>
                <w:rFonts w:hAnsi="宋体" w:cs="宋体"/>
                <w:sz w:val="18"/>
                <w:szCs w:val="18"/>
              </w:rPr>
              <w:t>8</w:t>
            </w:r>
          </w:p>
        </w:tc>
        <w:tc>
          <w:tcPr>
            <w:tcW w:w="1823" w:type="dxa"/>
            <w:noWrap w:val="0"/>
            <w:vAlign w:val="center"/>
          </w:tcPr>
          <w:p w14:paraId="2436E989">
            <w:pPr>
              <w:pStyle w:val="8"/>
              <w:adjustRightInd w:val="0"/>
              <w:snapToGrid w:val="0"/>
              <w:rPr>
                <w:rFonts w:hAnsi="宋体" w:cs="宋体"/>
                <w:sz w:val="18"/>
                <w:szCs w:val="18"/>
              </w:rPr>
            </w:pPr>
            <w:r>
              <w:rPr>
                <w:rFonts w:hAnsi="宋体" w:cs="宋体"/>
                <w:sz w:val="18"/>
                <w:szCs w:val="18"/>
              </w:rPr>
              <w:t>有一人死亡或多人永久失能</w:t>
            </w:r>
          </w:p>
        </w:tc>
        <w:tc>
          <w:tcPr>
            <w:tcW w:w="1640" w:type="dxa"/>
            <w:noWrap w:val="0"/>
            <w:vAlign w:val="center"/>
          </w:tcPr>
          <w:p w14:paraId="2DEDBA0B">
            <w:pPr>
              <w:widowControl/>
              <w:adjustRightInd w:val="0"/>
              <w:snapToGrid w:val="0"/>
              <w:rPr>
                <w:rFonts w:ascii="宋体" w:hAnsi="宋体" w:cs="宋体"/>
                <w:sz w:val="18"/>
                <w:szCs w:val="18"/>
              </w:rPr>
            </w:pPr>
            <w:r>
              <w:rPr>
                <w:rFonts w:ascii="宋体" w:hAnsi="宋体" w:cs="宋体"/>
                <w:sz w:val="18"/>
                <w:szCs w:val="18"/>
              </w:rPr>
              <w:t>职业病</w:t>
            </w:r>
            <w:r>
              <w:rPr>
                <w:rFonts w:hint="eastAsia" w:ascii="宋体" w:hAnsi="宋体" w:cs="宋体"/>
                <w:sz w:val="18"/>
                <w:szCs w:val="18"/>
              </w:rPr>
              <w:t>（多人）</w:t>
            </w:r>
          </w:p>
        </w:tc>
        <w:tc>
          <w:tcPr>
            <w:tcW w:w="1707" w:type="dxa"/>
            <w:noWrap w:val="0"/>
            <w:vAlign w:val="center"/>
          </w:tcPr>
          <w:p w14:paraId="4DB16865">
            <w:pPr>
              <w:widowControl/>
              <w:adjustRightInd w:val="0"/>
              <w:snapToGrid w:val="0"/>
              <w:rPr>
                <w:rFonts w:ascii="宋体" w:hAnsi="宋体" w:cs="宋体"/>
                <w:sz w:val="18"/>
                <w:szCs w:val="18"/>
              </w:rPr>
            </w:pPr>
            <w:r>
              <w:rPr>
                <w:rFonts w:hint="eastAsia" w:ascii="宋体" w:hAnsi="宋体" w:cs="宋体"/>
                <w:sz w:val="18"/>
                <w:szCs w:val="18"/>
              </w:rPr>
              <w:t>100万—1000万</w:t>
            </w:r>
          </w:p>
        </w:tc>
        <w:tc>
          <w:tcPr>
            <w:tcW w:w="3105" w:type="dxa"/>
            <w:tcBorders>
              <w:right w:val="single" w:color="auto" w:sz="8" w:space="0"/>
            </w:tcBorders>
            <w:noWrap w:val="0"/>
            <w:vAlign w:val="center"/>
          </w:tcPr>
          <w:p w14:paraId="326F8D94">
            <w:pPr>
              <w:widowControl/>
              <w:adjustRightInd w:val="0"/>
              <w:snapToGrid w:val="0"/>
              <w:jc w:val="center"/>
              <w:rPr>
                <w:rFonts w:ascii="宋体" w:hAnsi="宋体" w:cs="宋体"/>
                <w:sz w:val="18"/>
                <w:szCs w:val="18"/>
              </w:rPr>
            </w:pPr>
            <w:r>
              <w:rPr>
                <w:rFonts w:hint="eastAsia" w:ascii="宋体" w:hAnsi="宋体" w:cs="宋体"/>
                <w:sz w:val="18"/>
                <w:szCs w:val="18"/>
              </w:rPr>
              <w:t>有中等环境影响</w:t>
            </w:r>
          </w:p>
        </w:tc>
      </w:tr>
      <w:tr w14:paraId="61D146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064" w:type="dxa"/>
            <w:tcBorders>
              <w:left w:val="single" w:color="auto" w:sz="8" w:space="0"/>
            </w:tcBorders>
            <w:noWrap w:val="0"/>
            <w:vAlign w:val="center"/>
          </w:tcPr>
          <w:p w14:paraId="559212A3">
            <w:pPr>
              <w:pStyle w:val="8"/>
              <w:adjustRightInd w:val="0"/>
              <w:snapToGrid w:val="0"/>
              <w:jc w:val="center"/>
              <w:rPr>
                <w:rFonts w:hAnsi="宋体" w:cs="宋体"/>
                <w:sz w:val="18"/>
                <w:szCs w:val="18"/>
              </w:rPr>
            </w:pPr>
            <w:r>
              <w:rPr>
                <w:rFonts w:hAnsi="宋体" w:cs="宋体"/>
                <w:sz w:val="18"/>
                <w:szCs w:val="18"/>
              </w:rPr>
              <w:t>4</w:t>
            </w:r>
          </w:p>
        </w:tc>
        <w:tc>
          <w:tcPr>
            <w:tcW w:w="1823" w:type="dxa"/>
            <w:noWrap w:val="0"/>
            <w:vAlign w:val="center"/>
          </w:tcPr>
          <w:p w14:paraId="71647923">
            <w:pPr>
              <w:pStyle w:val="8"/>
              <w:adjustRightInd w:val="0"/>
              <w:snapToGrid w:val="0"/>
              <w:rPr>
                <w:rFonts w:hAnsi="宋体" w:cs="宋体"/>
                <w:sz w:val="18"/>
                <w:szCs w:val="18"/>
              </w:rPr>
            </w:pPr>
            <w:r>
              <w:rPr>
                <w:rFonts w:hAnsi="宋体" w:cs="宋体"/>
                <w:sz w:val="18"/>
                <w:szCs w:val="18"/>
              </w:rPr>
              <w:t>永久失能（一人）</w:t>
            </w:r>
          </w:p>
        </w:tc>
        <w:tc>
          <w:tcPr>
            <w:tcW w:w="1640" w:type="dxa"/>
            <w:noWrap w:val="0"/>
            <w:vAlign w:val="center"/>
          </w:tcPr>
          <w:p w14:paraId="159AE91F">
            <w:pPr>
              <w:widowControl/>
              <w:adjustRightInd w:val="0"/>
              <w:snapToGrid w:val="0"/>
              <w:rPr>
                <w:rFonts w:ascii="宋体" w:hAnsi="宋体" w:cs="宋体"/>
                <w:sz w:val="18"/>
                <w:szCs w:val="18"/>
              </w:rPr>
            </w:pPr>
            <w:r>
              <w:rPr>
                <w:rFonts w:ascii="宋体" w:hAnsi="宋体" w:cs="宋体"/>
                <w:sz w:val="18"/>
                <w:szCs w:val="18"/>
              </w:rPr>
              <w:t>职业病</w:t>
            </w:r>
            <w:r>
              <w:rPr>
                <w:rFonts w:hint="eastAsia" w:ascii="宋体" w:hAnsi="宋体" w:cs="宋体"/>
                <w:sz w:val="18"/>
                <w:szCs w:val="18"/>
              </w:rPr>
              <w:t>（一人）</w:t>
            </w:r>
          </w:p>
        </w:tc>
        <w:tc>
          <w:tcPr>
            <w:tcW w:w="1707" w:type="dxa"/>
            <w:noWrap w:val="0"/>
            <w:vAlign w:val="center"/>
          </w:tcPr>
          <w:p w14:paraId="61EFD784">
            <w:pPr>
              <w:widowControl/>
              <w:adjustRightInd w:val="0"/>
              <w:snapToGrid w:val="0"/>
              <w:rPr>
                <w:rFonts w:ascii="宋体" w:hAnsi="宋体" w:cs="宋体"/>
                <w:sz w:val="18"/>
                <w:szCs w:val="18"/>
              </w:rPr>
            </w:pPr>
            <w:r>
              <w:rPr>
                <w:rFonts w:hint="eastAsia" w:ascii="宋体" w:hAnsi="宋体" w:cs="宋体"/>
                <w:sz w:val="18"/>
                <w:szCs w:val="18"/>
              </w:rPr>
              <w:t>10万—100万</w:t>
            </w:r>
          </w:p>
        </w:tc>
        <w:tc>
          <w:tcPr>
            <w:tcW w:w="3105" w:type="dxa"/>
            <w:tcBorders>
              <w:right w:val="single" w:color="auto" w:sz="8" w:space="0"/>
            </w:tcBorders>
            <w:noWrap w:val="0"/>
            <w:vAlign w:val="center"/>
          </w:tcPr>
          <w:p w14:paraId="2150F9B3">
            <w:pPr>
              <w:widowControl/>
              <w:adjustRightInd w:val="0"/>
              <w:snapToGrid w:val="0"/>
              <w:jc w:val="center"/>
              <w:rPr>
                <w:rFonts w:ascii="宋体" w:hAnsi="宋体" w:cs="宋体"/>
                <w:sz w:val="18"/>
                <w:szCs w:val="18"/>
              </w:rPr>
            </w:pPr>
            <w:r>
              <w:rPr>
                <w:rFonts w:hint="eastAsia" w:ascii="宋体" w:hAnsi="宋体" w:cs="宋体"/>
                <w:sz w:val="18"/>
                <w:szCs w:val="18"/>
              </w:rPr>
              <w:t>有较轻环境影响</w:t>
            </w:r>
          </w:p>
        </w:tc>
      </w:tr>
      <w:tr w14:paraId="1C5167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1064" w:type="dxa"/>
            <w:tcBorders>
              <w:left w:val="single" w:color="auto" w:sz="8" w:space="0"/>
            </w:tcBorders>
            <w:noWrap w:val="0"/>
            <w:vAlign w:val="center"/>
          </w:tcPr>
          <w:p w14:paraId="4E45E720">
            <w:pPr>
              <w:pStyle w:val="8"/>
              <w:adjustRightInd w:val="0"/>
              <w:snapToGrid w:val="0"/>
              <w:jc w:val="center"/>
              <w:rPr>
                <w:rFonts w:hAnsi="宋体" w:cs="宋体"/>
                <w:sz w:val="18"/>
                <w:szCs w:val="18"/>
              </w:rPr>
            </w:pPr>
            <w:r>
              <w:rPr>
                <w:rFonts w:hAnsi="宋体" w:cs="宋体"/>
                <w:sz w:val="18"/>
                <w:szCs w:val="18"/>
              </w:rPr>
              <w:t>2</w:t>
            </w:r>
          </w:p>
        </w:tc>
        <w:tc>
          <w:tcPr>
            <w:tcW w:w="1823" w:type="dxa"/>
            <w:noWrap w:val="0"/>
            <w:vAlign w:val="center"/>
          </w:tcPr>
          <w:p w14:paraId="198DC6CF">
            <w:pPr>
              <w:pStyle w:val="8"/>
              <w:adjustRightInd w:val="0"/>
              <w:snapToGrid w:val="0"/>
              <w:rPr>
                <w:rFonts w:hAnsi="宋体" w:cs="宋体"/>
                <w:sz w:val="18"/>
                <w:szCs w:val="18"/>
              </w:rPr>
            </w:pPr>
            <w:r>
              <w:rPr>
                <w:rFonts w:hAnsi="宋体" w:cs="宋体"/>
                <w:sz w:val="18"/>
                <w:szCs w:val="18"/>
              </w:rPr>
              <w:t>需医院治疗，缺工</w:t>
            </w:r>
          </w:p>
        </w:tc>
        <w:tc>
          <w:tcPr>
            <w:tcW w:w="1640" w:type="dxa"/>
            <w:noWrap w:val="0"/>
            <w:vAlign w:val="center"/>
          </w:tcPr>
          <w:p w14:paraId="6DE23E7C">
            <w:pPr>
              <w:widowControl/>
              <w:adjustRightInd w:val="0"/>
              <w:snapToGrid w:val="0"/>
              <w:rPr>
                <w:rFonts w:ascii="宋体" w:hAnsi="宋体" w:cs="宋体"/>
                <w:sz w:val="18"/>
                <w:szCs w:val="18"/>
              </w:rPr>
            </w:pPr>
            <w:r>
              <w:rPr>
                <w:rFonts w:ascii="宋体" w:hAnsi="宋体" w:cs="宋体"/>
                <w:sz w:val="18"/>
                <w:szCs w:val="18"/>
              </w:rPr>
              <w:t>职业</w:t>
            </w:r>
            <w:r>
              <w:rPr>
                <w:rFonts w:hint="eastAsia" w:ascii="宋体" w:hAnsi="宋体" w:cs="宋体"/>
                <w:sz w:val="18"/>
                <w:szCs w:val="18"/>
              </w:rPr>
              <w:t>性多发病</w:t>
            </w:r>
          </w:p>
        </w:tc>
        <w:tc>
          <w:tcPr>
            <w:tcW w:w="1707" w:type="dxa"/>
            <w:noWrap w:val="0"/>
            <w:vAlign w:val="center"/>
          </w:tcPr>
          <w:p w14:paraId="56F4E55C">
            <w:pPr>
              <w:widowControl/>
              <w:adjustRightInd w:val="0"/>
              <w:snapToGrid w:val="0"/>
              <w:rPr>
                <w:rFonts w:ascii="宋体" w:hAnsi="宋体" w:cs="宋体"/>
                <w:sz w:val="18"/>
                <w:szCs w:val="18"/>
              </w:rPr>
            </w:pPr>
            <w:r>
              <w:rPr>
                <w:rFonts w:hint="eastAsia" w:ascii="宋体" w:hAnsi="宋体" w:cs="宋体"/>
                <w:sz w:val="18"/>
                <w:szCs w:val="18"/>
              </w:rPr>
              <w:t>1万—10万</w:t>
            </w:r>
          </w:p>
        </w:tc>
        <w:tc>
          <w:tcPr>
            <w:tcW w:w="3105" w:type="dxa"/>
            <w:tcBorders>
              <w:right w:val="single" w:color="auto" w:sz="8" w:space="0"/>
            </w:tcBorders>
            <w:noWrap w:val="0"/>
            <w:vAlign w:val="center"/>
          </w:tcPr>
          <w:p w14:paraId="66D001BD">
            <w:pPr>
              <w:widowControl/>
              <w:adjustRightInd w:val="0"/>
              <w:snapToGrid w:val="0"/>
              <w:jc w:val="center"/>
              <w:rPr>
                <w:rFonts w:ascii="宋体" w:hAnsi="宋体" w:cs="宋体"/>
                <w:sz w:val="18"/>
                <w:szCs w:val="18"/>
              </w:rPr>
            </w:pPr>
            <w:r>
              <w:rPr>
                <w:rFonts w:hint="eastAsia" w:ascii="宋体" w:hAnsi="宋体" w:cs="宋体"/>
                <w:sz w:val="18"/>
                <w:szCs w:val="18"/>
              </w:rPr>
              <w:t>有局部环境影响</w:t>
            </w:r>
          </w:p>
        </w:tc>
      </w:tr>
      <w:tr w14:paraId="41E34A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52" w:hRule="atLeast"/>
          <w:jc w:val="center"/>
        </w:trPr>
        <w:tc>
          <w:tcPr>
            <w:tcW w:w="1064" w:type="dxa"/>
            <w:tcBorders>
              <w:left w:val="single" w:color="auto" w:sz="8" w:space="0"/>
            </w:tcBorders>
            <w:noWrap w:val="0"/>
            <w:vAlign w:val="center"/>
          </w:tcPr>
          <w:p w14:paraId="7CE67EF2">
            <w:pPr>
              <w:pStyle w:val="8"/>
              <w:adjustRightInd w:val="0"/>
              <w:snapToGrid w:val="0"/>
              <w:jc w:val="center"/>
              <w:rPr>
                <w:rFonts w:hAnsi="宋体" w:cs="宋体"/>
                <w:sz w:val="18"/>
                <w:szCs w:val="18"/>
              </w:rPr>
            </w:pPr>
            <w:r>
              <w:rPr>
                <w:rFonts w:hAnsi="宋体" w:cs="宋体"/>
                <w:sz w:val="18"/>
                <w:szCs w:val="18"/>
              </w:rPr>
              <w:t>1</w:t>
            </w:r>
          </w:p>
        </w:tc>
        <w:tc>
          <w:tcPr>
            <w:tcW w:w="1823" w:type="dxa"/>
            <w:noWrap w:val="0"/>
            <w:vAlign w:val="center"/>
          </w:tcPr>
          <w:p w14:paraId="2F64DAA0">
            <w:pPr>
              <w:pStyle w:val="8"/>
              <w:adjustRightInd w:val="0"/>
              <w:snapToGrid w:val="0"/>
              <w:rPr>
                <w:rFonts w:hAnsi="宋体" w:cs="宋体"/>
                <w:sz w:val="18"/>
                <w:szCs w:val="18"/>
              </w:rPr>
            </w:pPr>
            <w:r>
              <w:rPr>
                <w:rFonts w:hAnsi="宋体" w:cs="宋体"/>
                <w:sz w:val="18"/>
                <w:szCs w:val="18"/>
              </w:rPr>
              <w:t>轻微，仅需急救</w:t>
            </w:r>
          </w:p>
        </w:tc>
        <w:tc>
          <w:tcPr>
            <w:tcW w:w="1640" w:type="dxa"/>
            <w:noWrap w:val="0"/>
            <w:vAlign w:val="center"/>
          </w:tcPr>
          <w:p w14:paraId="127ED2B1">
            <w:pPr>
              <w:pStyle w:val="8"/>
              <w:adjustRightInd w:val="0"/>
              <w:snapToGrid w:val="0"/>
              <w:rPr>
                <w:rFonts w:hAnsi="宋体" w:cs="宋体"/>
                <w:sz w:val="18"/>
                <w:szCs w:val="18"/>
              </w:rPr>
            </w:pPr>
            <w:r>
              <w:rPr>
                <w:rFonts w:hAnsi="宋体" w:cs="宋体"/>
                <w:sz w:val="18"/>
                <w:szCs w:val="18"/>
              </w:rPr>
              <w:t>职业因素引起的身体不适</w:t>
            </w:r>
          </w:p>
        </w:tc>
        <w:tc>
          <w:tcPr>
            <w:tcW w:w="1707" w:type="dxa"/>
            <w:noWrap w:val="0"/>
            <w:vAlign w:val="center"/>
          </w:tcPr>
          <w:p w14:paraId="61C657A5">
            <w:pPr>
              <w:widowControl/>
              <w:adjustRightInd w:val="0"/>
              <w:snapToGrid w:val="0"/>
              <w:rPr>
                <w:rFonts w:ascii="宋体" w:hAnsi="宋体" w:cs="宋体"/>
                <w:sz w:val="18"/>
                <w:szCs w:val="18"/>
              </w:rPr>
            </w:pPr>
            <w:r>
              <w:rPr>
                <w:rFonts w:ascii="宋体" w:hAnsi="宋体" w:cs="宋体"/>
                <w:sz w:val="18"/>
                <w:szCs w:val="18"/>
              </w:rPr>
              <w:t>＜</w:t>
            </w:r>
            <w:r>
              <w:rPr>
                <w:rFonts w:hint="eastAsia" w:ascii="宋体" w:hAnsi="宋体" w:cs="宋体"/>
                <w:sz w:val="18"/>
                <w:szCs w:val="18"/>
              </w:rPr>
              <w:t>1</w:t>
            </w:r>
            <w:r>
              <w:rPr>
                <w:rFonts w:ascii="宋体" w:hAnsi="宋体" w:cs="宋体"/>
                <w:sz w:val="18"/>
                <w:szCs w:val="18"/>
              </w:rPr>
              <w:t>万</w:t>
            </w:r>
          </w:p>
        </w:tc>
        <w:tc>
          <w:tcPr>
            <w:tcW w:w="3105" w:type="dxa"/>
            <w:tcBorders>
              <w:right w:val="single" w:color="auto" w:sz="8" w:space="0"/>
            </w:tcBorders>
            <w:noWrap w:val="0"/>
            <w:vAlign w:val="center"/>
          </w:tcPr>
          <w:p w14:paraId="0F580C24">
            <w:pPr>
              <w:widowControl/>
              <w:adjustRightInd w:val="0"/>
              <w:snapToGrid w:val="0"/>
              <w:jc w:val="center"/>
              <w:rPr>
                <w:rFonts w:ascii="宋体" w:hAnsi="宋体" w:cs="宋体"/>
                <w:sz w:val="18"/>
                <w:szCs w:val="18"/>
              </w:rPr>
            </w:pPr>
            <w:r>
              <w:rPr>
                <w:rFonts w:ascii="宋体" w:hAnsi="宋体" w:cs="宋体"/>
                <w:sz w:val="18"/>
                <w:szCs w:val="18"/>
              </w:rPr>
              <w:t>无环境影响</w:t>
            </w:r>
          </w:p>
        </w:tc>
      </w:tr>
      <w:tr w14:paraId="3B99A6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9" w:hRule="atLeast"/>
          <w:jc w:val="center"/>
        </w:trPr>
        <w:tc>
          <w:tcPr>
            <w:tcW w:w="9339" w:type="dxa"/>
            <w:gridSpan w:val="5"/>
            <w:tcBorders>
              <w:left w:val="single" w:color="auto" w:sz="8" w:space="0"/>
              <w:bottom w:val="single" w:color="auto" w:sz="8" w:space="0"/>
              <w:right w:val="single" w:color="auto" w:sz="8" w:space="0"/>
            </w:tcBorders>
            <w:noWrap w:val="0"/>
            <w:vAlign w:val="center"/>
          </w:tcPr>
          <w:p w14:paraId="2F31EF3F">
            <w:pPr>
              <w:pStyle w:val="8"/>
              <w:adjustRightInd w:val="0"/>
              <w:snapToGrid w:val="0"/>
              <w:rPr>
                <w:rFonts w:hAnsi="宋体" w:cs="宋体"/>
                <w:sz w:val="18"/>
                <w:szCs w:val="18"/>
              </w:rPr>
            </w:pPr>
            <w:r>
              <w:rPr>
                <w:rFonts w:hint="eastAsia"/>
                <w:sz w:val="18"/>
                <w:szCs w:val="18"/>
              </w:rPr>
              <w:t>注：</w:t>
            </w:r>
            <w:r>
              <w:rPr>
                <w:sz w:val="18"/>
                <w:szCs w:val="18"/>
              </w:rPr>
              <w:t>表中财产损失一栏的分档赋值，可根据</w:t>
            </w:r>
            <w:r>
              <w:rPr>
                <w:rFonts w:hint="eastAsia"/>
                <w:sz w:val="18"/>
                <w:szCs w:val="18"/>
                <w:lang w:val="en-US" w:eastAsia="zh-CN"/>
              </w:rPr>
              <w:t>生态环境监测机构</w:t>
            </w:r>
            <w:r>
              <w:rPr>
                <w:sz w:val="18"/>
                <w:szCs w:val="18"/>
              </w:rPr>
              <w:t>的特点进行适当调整。</w:t>
            </w:r>
          </w:p>
        </w:tc>
      </w:tr>
    </w:tbl>
    <w:p w14:paraId="51BA4157">
      <w:pPr>
        <w:rPr>
          <w:rFonts w:hint="eastAsia" w:ascii="黑体" w:hAnsi="黑体" w:eastAsia="黑体" w:cs="黑体"/>
        </w:rPr>
      </w:pPr>
      <w:bookmarkStart w:id="272" w:name="_Toc2417"/>
      <w:bookmarkStart w:id="273" w:name="_Toc3898"/>
      <w:bookmarkStart w:id="274" w:name="_Toc14418"/>
      <w:bookmarkStart w:id="275" w:name="_Toc15712"/>
      <w:bookmarkStart w:id="276" w:name="_Toc28829"/>
      <w:r>
        <w:rPr>
          <w:rFonts w:hint="eastAsia" w:ascii="黑体" w:hAnsi="黑体" w:eastAsia="黑体" w:cs="黑体"/>
          <w:lang w:val="en-US" w:eastAsia="zh-CN"/>
        </w:rPr>
        <w:t>E</w:t>
      </w:r>
      <w:r>
        <w:rPr>
          <w:rFonts w:hint="eastAsia" w:ascii="黑体" w:hAnsi="黑体" w:eastAsia="黑体" w:cs="黑体"/>
        </w:rPr>
        <w:t>.6  根据可能性和后果确定风险程度R=L·S=MES</w:t>
      </w:r>
      <w:bookmarkEnd w:id="272"/>
      <w:bookmarkEnd w:id="273"/>
      <w:bookmarkEnd w:id="274"/>
      <w:bookmarkEnd w:id="275"/>
      <w:bookmarkEnd w:id="276"/>
    </w:p>
    <w:p w14:paraId="49EFA113">
      <w:pPr>
        <w:pStyle w:val="41"/>
        <w:ind w:firstLine="420"/>
        <w:rPr>
          <w:rFonts w:hint="eastAsia"/>
        </w:rPr>
      </w:pPr>
      <w:r>
        <w:rPr>
          <w:rFonts w:hint="eastAsia"/>
        </w:rPr>
        <w:t>将</w:t>
      </w:r>
      <w:r>
        <w:t>控制措施的状态M</w:t>
      </w:r>
      <w:r>
        <w:rPr>
          <w:rFonts w:hint="eastAsia"/>
        </w:rPr>
        <w:t>、</w:t>
      </w:r>
      <w:r>
        <w:t>暴露的频繁程度E</w:t>
      </w:r>
      <w:r>
        <w:rPr>
          <w:rFonts w:hint="eastAsia"/>
        </w:rPr>
        <w:t>（</w:t>
      </w:r>
      <w:r>
        <w:t>E</w:t>
      </w:r>
      <w:r>
        <w:rPr>
          <w:rFonts w:hint="eastAsia"/>
        </w:rPr>
        <w:t>1或</w:t>
      </w:r>
      <w:r>
        <w:t>E</w:t>
      </w:r>
      <w:r>
        <w:rPr>
          <w:rFonts w:hint="eastAsia"/>
        </w:rPr>
        <w:t>2）、一旦发生事故会造成的损失后果</w:t>
      </w:r>
      <w:r>
        <w:t>S</w:t>
      </w:r>
      <w:r>
        <w:rPr>
          <w:rFonts w:hint="eastAsia"/>
        </w:rPr>
        <w:t>分别分为若干等级，并赋予一定的相应分值。风险程度</w:t>
      </w:r>
      <w:r>
        <w:t>R</w:t>
      </w:r>
      <w:r>
        <w:rPr>
          <w:rFonts w:hint="eastAsia"/>
        </w:rPr>
        <w:t>为三者的乘积。将</w:t>
      </w:r>
      <w:r>
        <w:t>R</w:t>
      </w:r>
      <w:r>
        <w:rPr>
          <w:rFonts w:hint="eastAsia"/>
        </w:rPr>
        <w:t>亦分为若干等级。针对特定的作业条件，恰当选取</w:t>
      </w:r>
      <w:r>
        <w:t>M</w:t>
      </w:r>
      <w:r>
        <w:rPr>
          <w:rFonts w:hint="eastAsia"/>
        </w:rPr>
        <w:t>、</w:t>
      </w:r>
      <w:r>
        <w:t>E</w:t>
      </w:r>
      <w:r>
        <w:rPr>
          <w:rFonts w:hint="eastAsia"/>
        </w:rPr>
        <w:t>、</w:t>
      </w:r>
      <w:r>
        <w:t>S</w:t>
      </w:r>
      <w:r>
        <w:rPr>
          <w:rFonts w:hint="eastAsia"/>
        </w:rPr>
        <w:t>的值，根据相乘后的积确定风险程度</w:t>
      </w:r>
      <w:r>
        <w:t>R</w:t>
      </w:r>
      <w:r>
        <w:rPr>
          <w:rFonts w:hint="eastAsia"/>
        </w:rPr>
        <w:t>的级别。</w:t>
      </w:r>
      <w:r>
        <w:t>风险程度的分级见表</w:t>
      </w:r>
      <w:r>
        <w:rPr>
          <w:rFonts w:hint="eastAsia"/>
          <w:lang w:val="en-US" w:eastAsia="zh-CN"/>
        </w:rPr>
        <w:t>E</w:t>
      </w:r>
      <w:r>
        <w:rPr>
          <w:rFonts w:hint="eastAsia"/>
        </w:rPr>
        <w:t>.4</w:t>
      </w:r>
      <w:r>
        <w:t>。</w:t>
      </w:r>
    </w:p>
    <w:p w14:paraId="41C8BD13">
      <w:pPr>
        <w:pStyle w:val="79"/>
        <w:numPr>
          <w:ilvl w:val="0"/>
          <w:numId w:val="0"/>
        </w:numPr>
        <w:tabs>
          <w:tab w:val="left" w:pos="180"/>
        </w:tabs>
        <w:spacing w:before="156" w:after="156"/>
      </w:pPr>
      <w:r>
        <w:rPr>
          <w:rFonts w:hint="eastAsia"/>
        </w:rPr>
        <w:t>表</w:t>
      </w:r>
      <w:r>
        <w:rPr>
          <w:rFonts w:hint="eastAsia" w:ascii="黑体" w:hAnsi="黑体" w:eastAsia="黑体" w:cs="黑体"/>
          <w:lang w:val="en-US" w:eastAsia="zh-CN"/>
        </w:rPr>
        <w:t>E</w:t>
      </w:r>
      <w:r>
        <w:rPr>
          <w:rFonts w:hint="eastAsia"/>
        </w:rPr>
        <w:t>.4  风险程度的分级判定准则（R）</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377"/>
        <w:gridCol w:w="6062"/>
      </w:tblGrid>
      <w:tr w14:paraId="0E6B95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377" w:type="dxa"/>
            <w:tcBorders>
              <w:top w:val="single" w:color="auto" w:sz="8" w:space="0"/>
              <w:left w:val="single" w:color="auto" w:sz="8" w:space="0"/>
            </w:tcBorders>
            <w:noWrap w:val="0"/>
            <w:vAlign w:val="center"/>
          </w:tcPr>
          <w:p w14:paraId="65972FDF">
            <w:pPr>
              <w:pStyle w:val="8"/>
              <w:jc w:val="center"/>
              <w:rPr>
                <w:rFonts w:hAnsi="宋体" w:cs="宋体"/>
                <w:sz w:val="18"/>
                <w:szCs w:val="18"/>
              </w:rPr>
            </w:pPr>
            <w:r>
              <w:rPr>
                <w:rFonts w:hAnsi="宋体" w:cs="宋体"/>
                <w:sz w:val="18"/>
                <w:szCs w:val="18"/>
              </w:rPr>
              <w:t>R=MES</w:t>
            </w:r>
          </w:p>
        </w:tc>
        <w:tc>
          <w:tcPr>
            <w:tcW w:w="6062" w:type="dxa"/>
            <w:tcBorders>
              <w:top w:val="single" w:color="auto" w:sz="8" w:space="0"/>
              <w:right w:val="single" w:color="auto" w:sz="8" w:space="0"/>
            </w:tcBorders>
            <w:noWrap w:val="0"/>
            <w:vAlign w:val="center"/>
          </w:tcPr>
          <w:p w14:paraId="71CFE0FA">
            <w:pPr>
              <w:pStyle w:val="8"/>
              <w:jc w:val="center"/>
              <w:rPr>
                <w:rFonts w:hAnsi="宋体" w:cs="宋体"/>
                <w:sz w:val="18"/>
                <w:szCs w:val="18"/>
              </w:rPr>
            </w:pPr>
            <w:r>
              <w:rPr>
                <w:rFonts w:hAnsi="宋体" w:cs="宋体"/>
                <w:sz w:val="18"/>
                <w:szCs w:val="18"/>
              </w:rPr>
              <w:t>风险程度（等级）</w:t>
            </w:r>
          </w:p>
        </w:tc>
      </w:tr>
      <w:tr w14:paraId="3760D0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377" w:type="dxa"/>
            <w:tcBorders>
              <w:top w:val="single" w:color="auto" w:sz="8" w:space="0"/>
              <w:left w:val="single" w:color="auto" w:sz="8" w:space="0"/>
            </w:tcBorders>
            <w:noWrap w:val="0"/>
            <w:vAlign w:val="center"/>
          </w:tcPr>
          <w:p w14:paraId="49588802">
            <w:pPr>
              <w:pStyle w:val="8"/>
              <w:jc w:val="center"/>
              <w:rPr>
                <w:rFonts w:hAnsi="宋体" w:cs="宋体"/>
                <w:sz w:val="18"/>
                <w:szCs w:val="18"/>
              </w:rPr>
            </w:pPr>
            <w:r>
              <w:rPr>
                <w:rFonts w:hAnsi="宋体" w:cs="宋体"/>
                <w:sz w:val="18"/>
                <w:szCs w:val="18"/>
              </w:rPr>
              <w:t>＞180</w:t>
            </w:r>
          </w:p>
        </w:tc>
        <w:tc>
          <w:tcPr>
            <w:tcW w:w="6062" w:type="dxa"/>
            <w:tcBorders>
              <w:top w:val="single" w:color="auto" w:sz="8" w:space="0"/>
              <w:right w:val="single" w:color="auto" w:sz="8" w:space="0"/>
            </w:tcBorders>
            <w:noWrap w:val="0"/>
            <w:vAlign w:val="center"/>
          </w:tcPr>
          <w:p w14:paraId="531092F8">
            <w:pPr>
              <w:pStyle w:val="8"/>
              <w:jc w:val="center"/>
              <w:rPr>
                <w:rFonts w:hAnsi="宋体" w:cs="宋体"/>
                <w:sz w:val="18"/>
                <w:szCs w:val="18"/>
              </w:rPr>
            </w:pPr>
            <w:r>
              <w:rPr>
                <w:rFonts w:hint="eastAsia" w:hAnsi="宋体" w:cs="宋体"/>
                <w:sz w:val="18"/>
                <w:szCs w:val="18"/>
              </w:rPr>
              <w:t>1级</w:t>
            </w:r>
          </w:p>
        </w:tc>
      </w:tr>
      <w:tr w14:paraId="0DDE28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377" w:type="dxa"/>
            <w:tcBorders>
              <w:top w:val="single" w:color="auto" w:sz="8" w:space="0"/>
              <w:left w:val="single" w:color="auto" w:sz="8" w:space="0"/>
            </w:tcBorders>
            <w:noWrap w:val="0"/>
            <w:vAlign w:val="center"/>
          </w:tcPr>
          <w:p w14:paraId="60789527">
            <w:pPr>
              <w:pStyle w:val="8"/>
              <w:jc w:val="center"/>
              <w:rPr>
                <w:rFonts w:hAnsi="宋体" w:cs="宋体"/>
                <w:sz w:val="18"/>
                <w:szCs w:val="18"/>
              </w:rPr>
            </w:pPr>
            <w:r>
              <w:rPr>
                <w:rFonts w:hAnsi="宋体" w:cs="宋体"/>
                <w:sz w:val="18"/>
                <w:szCs w:val="18"/>
              </w:rPr>
              <w:t>90-150</w:t>
            </w:r>
          </w:p>
        </w:tc>
        <w:tc>
          <w:tcPr>
            <w:tcW w:w="6062" w:type="dxa"/>
            <w:tcBorders>
              <w:top w:val="single" w:color="auto" w:sz="8" w:space="0"/>
              <w:right w:val="single" w:color="auto" w:sz="8" w:space="0"/>
            </w:tcBorders>
            <w:noWrap w:val="0"/>
            <w:vAlign w:val="center"/>
          </w:tcPr>
          <w:p w14:paraId="7771F47A">
            <w:pPr>
              <w:pStyle w:val="8"/>
              <w:jc w:val="center"/>
              <w:rPr>
                <w:rFonts w:hAnsi="宋体" w:cs="宋体"/>
                <w:sz w:val="18"/>
                <w:szCs w:val="18"/>
              </w:rPr>
            </w:pPr>
            <w:r>
              <w:rPr>
                <w:rFonts w:hint="eastAsia" w:hAnsi="宋体" w:cs="宋体"/>
                <w:sz w:val="18"/>
                <w:szCs w:val="18"/>
              </w:rPr>
              <w:t>2级</w:t>
            </w:r>
          </w:p>
        </w:tc>
      </w:tr>
      <w:tr w14:paraId="396D7C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377" w:type="dxa"/>
            <w:tcBorders>
              <w:top w:val="single" w:color="auto" w:sz="8" w:space="0"/>
              <w:left w:val="single" w:color="auto" w:sz="8" w:space="0"/>
            </w:tcBorders>
            <w:noWrap w:val="0"/>
            <w:vAlign w:val="center"/>
          </w:tcPr>
          <w:p w14:paraId="5D050F16">
            <w:pPr>
              <w:pStyle w:val="8"/>
              <w:jc w:val="center"/>
              <w:rPr>
                <w:rFonts w:hAnsi="宋体" w:cs="宋体"/>
                <w:sz w:val="18"/>
                <w:szCs w:val="18"/>
              </w:rPr>
            </w:pPr>
            <w:r>
              <w:rPr>
                <w:rFonts w:hAnsi="宋体" w:cs="宋体"/>
                <w:sz w:val="18"/>
                <w:szCs w:val="18"/>
              </w:rPr>
              <w:t>50-80</w:t>
            </w:r>
          </w:p>
        </w:tc>
        <w:tc>
          <w:tcPr>
            <w:tcW w:w="6062" w:type="dxa"/>
            <w:tcBorders>
              <w:top w:val="single" w:color="auto" w:sz="8" w:space="0"/>
              <w:right w:val="single" w:color="auto" w:sz="8" w:space="0"/>
            </w:tcBorders>
            <w:noWrap w:val="0"/>
            <w:vAlign w:val="center"/>
          </w:tcPr>
          <w:p w14:paraId="4BD1D050">
            <w:pPr>
              <w:pStyle w:val="8"/>
              <w:jc w:val="center"/>
              <w:rPr>
                <w:rFonts w:hAnsi="宋体" w:cs="宋体"/>
                <w:sz w:val="18"/>
                <w:szCs w:val="18"/>
              </w:rPr>
            </w:pPr>
            <w:r>
              <w:rPr>
                <w:rFonts w:hint="eastAsia" w:hAnsi="宋体" w:cs="宋体"/>
                <w:sz w:val="18"/>
                <w:szCs w:val="18"/>
              </w:rPr>
              <w:t>3</w:t>
            </w:r>
            <w:r>
              <w:rPr>
                <w:rFonts w:hAnsi="宋体" w:cs="宋体"/>
                <w:sz w:val="18"/>
                <w:szCs w:val="18"/>
              </w:rPr>
              <w:t>级</w:t>
            </w:r>
          </w:p>
        </w:tc>
      </w:tr>
      <w:tr w14:paraId="599D1F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377" w:type="dxa"/>
            <w:tcBorders>
              <w:top w:val="single" w:color="auto" w:sz="8" w:space="0"/>
              <w:left w:val="single" w:color="auto" w:sz="8" w:space="0"/>
            </w:tcBorders>
            <w:noWrap w:val="0"/>
            <w:vAlign w:val="center"/>
          </w:tcPr>
          <w:p w14:paraId="79C40995">
            <w:pPr>
              <w:pStyle w:val="8"/>
              <w:jc w:val="center"/>
              <w:rPr>
                <w:rFonts w:hAnsi="宋体" w:cs="宋体"/>
                <w:sz w:val="18"/>
                <w:szCs w:val="18"/>
              </w:rPr>
            </w:pPr>
            <w:r>
              <w:rPr>
                <w:rFonts w:hAnsi="宋体" w:cs="宋体"/>
                <w:sz w:val="18"/>
                <w:szCs w:val="18"/>
              </w:rPr>
              <w:t>20-48</w:t>
            </w:r>
          </w:p>
        </w:tc>
        <w:tc>
          <w:tcPr>
            <w:tcW w:w="6062" w:type="dxa"/>
            <w:tcBorders>
              <w:top w:val="single" w:color="auto" w:sz="8" w:space="0"/>
              <w:right w:val="single" w:color="auto" w:sz="8" w:space="0"/>
            </w:tcBorders>
            <w:noWrap w:val="0"/>
            <w:vAlign w:val="center"/>
          </w:tcPr>
          <w:p w14:paraId="6AFC5170">
            <w:pPr>
              <w:pStyle w:val="8"/>
              <w:jc w:val="center"/>
              <w:rPr>
                <w:rFonts w:hAnsi="宋体" w:cs="宋体"/>
                <w:sz w:val="18"/>
                <w:szCs w:val="18"/>
              </w:rPr>
            </w:pPr>
            <w:r>
              <w:rPr>
                <w:rFonts w:hint="eastAsia" w:hAnsi="宋体" w:cs="宋体"/>
                <w:sz w:val="18"/>
                <w:szCs w:val="18"/>
              </w:rPr>
              <w:t>4</w:t>
            </w:r>
            <w:r>
              <w:rPr>
                <w:rFonts w:hAnsi="宋体" w:cs="宋体"/>
                <w:sz w:val="18"/>
                <w:szCs w:val="18"/>
              </w:rPr>
              <w:t>级</w:t>
            </w:r>
          </w:p>
        </w:tc>
      </w:tr>
      <w:tr w14:paraId="179900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377" w:type="dxa"/>
            <w:tcBorders>
              <w:top w:val="single" w:color="auto" w:sz="8" w:space="0"/>
              <w:left w:val="single" w:color="auto" w:sz="8" w:space="0"/>
            </w:tcBorders>
            <w:noWrap w:val="0"/>
            <w:vAlign w:val="center"/>
          </w:tcPr>
          <w:p w14:paraId="7938DBB5">
            <w:pPr>
              <w:pStyle w:val="8"/>
              <w:jc w:val="center"/>
              <w:rPr>
                <w:rFonts w:hAnsi="宋体" w:cs="宋体"/>
                <w:sz w:val="18"/>
                <w:szCs w:val="18"/>
              </w:rPr>
            </w:pPr>
            <w:r>
              <w:rPr>
                <w:rFonts w:hAnsi="宋体" w:cs="宋体"/>
                <w:sz w:val="18"/>
                <w:szCs w:val="18"/>
              </w:rPr>
              <w:t>≤18</w:t>
            </w:r>
          </w:p>
        </w:tc>
        <w:tc>
          <w:tcPr>
            <w:tcW w:w="6062" w:type="dxa"/>
            <w:tcBorders>
              <w:top w:val="single" w:color="auto" w:sz="8" w:space="0"/>
              <w:right w:val="single" w:color="auto" w:sz="8" w:space="0"/>
            </w:tcBorders>
            <w:noWrap w:val="0"/>
            <w:vAlign w:val="center"/>
          </w:tcPr>
          <w:p w14:paraId="78BCF30A">
            <w:pPr>
              <w:pStyle w:val="8"/>
              <w:jc w:val="center"/>
              <w:rPr>
                <w:rFonts w:hAnsi="宋体" w:cs="宋体"/>
                <w:sz w:val="18"/>
                <w:szCs w:val="18"/>
              </w:rPr>
            </w:pPr>
            <w:r>
              <w:rPr>
                <w:rFonts w:hint="eastAsia" w:hAnsi="宋体" w:cs="宋体"/>
                <w:sz w:val="18"/>
                <w:szCs w:val="18"/>
              </w:rPr>
              <w:t>5</w:t>
            </w:r>
            <w:r>
              <w:rPr>
                <w:rFonts w:hAnsi="宋体" w:cs="宋体"/>
                <w:sz w:val="18"/>
                <w:szCs w:val="18"/>
              </w:rPr>
              <w:t>级</w:t>
            </w:r>
          </w:p>
        </w:tc>
      </w:tr>
      <w:tr w14:paraId="6A6176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9439" w:type="dxa"/>
            <w:gridSpan w:val="2"/>
            <w:tcBorders>
              <w:left w:val="single" w:color="auto" w:sz="8" w:space="0"/>
              <w:bottom w:val="single" w:color="auto" w:sz="8" w:space="0"/>
              <w:right w:val="single" w:color="auto" w:sz="8" w:space="0"/>
            </w:tcBorders>
            <w:noWrap w:val="0"/>
            <w:vAlign w:val="center"/>
          </w:tcPr>
          <w:p w14:paraId="11240661">
            <w:pPr>
              <w:rPr>
                <w:sz w:val="18"/>
                <w:szCs w:val="18"/>
              </w:rPr>
            </w:pPr>
            <w:r>
              <w:rPr>
                <w:rFonts w:hint="eastAsia"/>
                <w:sz w:val="18"/>
                <w:szCs w:val="18"/>
              </w:rPr>
              <w:t>注：</w:t>
            </w:r>
            <w:r>
              <w:rPr>
                <w:rFonts w:hint="eastAsia" w:ascii="宋体" w:hAnsi="宋体"/>
                <w:sz w:val="18"/>
                <w:szCs w:val="18"/>
              </w:rPr>
              <w:t>风险</w:t>
            </w:r>
            <w:r>
              <w:rPr>
                <w:rFonts w:hint="eastAsia"/>
                <w:sz w:val="18"/>
                <w:szCs w:val="18"/>
              </w:rPr>
              <w:t>程度是</w:t>
            </w:r>
            <w:r>
              <w:rPr>
                <w:rFonts w:hint="eastAsia" w:ascii="宋体" w:hAnsi="宋体"/>
                <w:sz w:val="18"/>
                <w:szCs w:val="18"/>
              </w:rPr>
              <w:t>可能性和后果的二元函数。当用两者的乘积反映风险</w:t>
            </w:r>
            <w:r>
              <w:rPr>
                <w:rFonts w:hint="eastAsia"/>
                <w:sz w:val="18"/>
                <w:szCs w:val="18"/>
              </w:rPr>
              <w:t>程度的大小时，从数学上讲，</w:t>
            </w:r>
            <w:r>
              <w:rPr>
                <w:rFonts w:hint="eastAsia" w:ascii="宋体" w:hAnsi="宋体"/>
                <w:sz w:val="18"/>
                <w:szCs w:val="18"/>
              </w:rPr>
              <w:t>乘积前面应当有一系数。但系数仅是乘积的一个倍数，不影响不同乘积间的比值；</w:t>
            </w:r>
            <w:r>
              <w:rPr>
                <w:rFonts w:hint="eastAsia"/>
                <w:sz w:val="18"/>
                <w:szCs w:val="18"/>
              </w:rPr>
              <w:t>也就是说，</w:t>
            </w:r>
            <w:r>
              <w:rPr>
                <w:rFonts w:hint="eastAsia" w:ascii="宋体" w:hAnsi="宋体"/>
                <w:sz w:val="18"/>
                <w:szCs w:val="18"/>
              </w:rPr>
              <w:t>不影响风险</w:t>
            </w:r>
            <w:r>
              <w:rPr>
                <w:rFonts w:hint="eastAsia"/>
                <w:sz w:val="18"/>
                <w:szCs w:val="18"/>
              </w:rPr>
              <w:t>程度的</w:t>
            </w:r>
            <w:r>
              <w:rPr>
                <w:rFonts w:hint="eastAsia" w:ascii="宋体" w:hAnsi="宋体"/>
                <w:sz w:val="18"/>
                <w:szCs w:val="18"/>
              </w:rPr>
              <w:t>相对比值。因此，为简单起见，将系数取为1。</w:t>
            </w:r>
          </w:p>
        </w:tc>
      </w:tr>
    </w:tbl>
    <w:p w14:paraId="1460D018">
      <w:pPr>
        <w:pStyle w:val="41"/>
        <w:ind w:firstLine="420"/>
      </w:pPr>
    </w:p>
    <w:p w14:paraId="4689BEB5">
      <w:pPr>
        <w:pStyle w:val="41"/>
        <w:ind w:firstLine="420"/>
        <w:rPr>
          <w:rFonts w:hint="default"/>
          <w:lang w:val="en-US" w:eastAsia="zh-CN"/>
        </w:rPr>
        <w:sectPr>
          <w:pgSz w:w="11900" w:h="16840"/>
          <w:pgMar w:top="561" w:right="1134" w:bottom="561" w:left="1418" w:header="1418" w:footer="720" w:gutter="0"/>
          <w:pgNumType w:fmt="decimal"/>
          <w:cols w:space="720" w:num="1"/>
          <w:docGrid w:linePitch="286" w:charSpace="0"/>
        </w:sectPr>
      </w:pPr>
    </w:p>
    <w:p w14:paraId="243843FD">
      <w:pPr>
        <w:pStyle w:val="81"/>
        <w:numPr>
          <w:ilvl w:val="0"/>
          <w:numId w:val="0"/>
        </w:numPr>
        <w:spacing w:after="156"/>
        <w:ind w:leftChars="0"/>
        <w:jc w:val="center"/>
        <w:rPr>
          <w:rFonts w:hint="eastAsia"/>
        </w:rPr>
      </w:pPr>
      <w:bookmarkStart w:id="277" w:name="_Toc181087366"/>
      <w:r>
        <w:rPr>
          <w:rFonts w:hint="eastAsia"/>
        </w:rPr>
        <w:t xml:space="preserve">附  录  </w:t>
      </w:r>
      <w:r>
        <w:rPr>
          <w:rFonts w:hint="eastAsia"/>
          <w:lang w:val="en-US" w:eastAsia="zh-CN"/>
        </w:rPr>
        <w:t>F</w:t>
      </w:r>
      <w:r>
        <w:br w:type="textWrapping"/>
      </w:r>
      <w:r>
        <w:rPr>
          <w:rFonts w:hint="eastAsia"/>
        </w:rPr>
        <w:t>（资料性）</w:t>
      </w:r>
      <w:r>
        <w:br w:type="textWrapping"/>
      </w:r>
      <w:r>
        <w:rPr>
          <w:rFonts w:hint="eastAsia"/>
        </w:rPr>
        <w:t>湖北省地方标准实施信息及意见反馈表</w:t>
      </w:r>
      <w:bookmarkEnd w:id="277"/>
    </w:p>
    <w:p w14:paraId="0A3198D8">
      <w:pPr>
        <w:pStyle w:val="82"/>
        <w:ind w:firstLine="420"/>
      </w:pPr>
      <w:r>
        <w:rPr>
          <w:rFonts w:hint="eastAsia"/>
        </w:rPr>
        <w:t>湖北省地方标准实施信息及意见反馈表如表</w:t>
      </w:r>
      <w:r>
        <w:rPr>
          <w:rFonts w:hint="eastAsia"/>
          <w:lang w:val="en-US" w:eastAsia="zh-CN"/>
        </w:rPr>
        <w:t>F.1</w:t>
      </w:r>
      <w:r>
        <w:rPr>
          <w:rFonts w:hint="eastAsia"/>
        </w:rPr>
        <w:t>所示。</w:t>
      </w:r>
    </w:p>
    <w:p w14:paraId="73F223D4">
      <w:pPr>
        <w:pStyle w:val="55"/>
        <w:keepNext/>
        <w:keepLines w:val="0"/>
        <w:widowControl/>
        <w:numPr>
          <w:ilvl w:val="0"/>
          <w:numId w:val="0"/>
        </w:numPr>
        <w:suppressLineNumbers w:val="0"/>
        <w:shd w:val="clear" w:color="FFFFFF" w:fill="FFFFFF"/>
        <w:tabs>
          <w:tab w:val="left" w:pos="360"/>
        </w:tabs>
        <w:spacing w:before="0" w:after="0" w:line="240" w:lineRule="exact"/>
        <w:jc w:val="center"/>
        <w:rPr>
          <w:rFonts w:hint="eastAsia" w:ascii="黑体" w:eastAsia="黑体" w:hAnsiTheme="minorHAnsi" w:cstheme="minorBidi"/>
          <w:color w:val="000000"/>
          <w:kern w:val="0"/>
          <w:sz w:val="21"/>
          <w:szCs w:val="20"/>
          <w:lang w:val="en-US" w:eastAsia="zh-CN" w:bidi="ar"/>
        </w:rPr>
      </w:pPr>
      <w:r>
        <w:rPr>
          <w:rFonts w:hint="eastAsia"/>
          <w:lang w:val="en-US" w:eastAsia="zh-CN"/>
        </w:rPr>
        <w:t>表F.1</w:t>
      </w:r>
      <w:r>
        <w:rPr>
          <w:rFonts w:hint="eastAsia"/>
        </w:rPr>
        <w:t>湖北省地方标准实施信息及意见反馈表</w:t>
      </w:r>
    </w:p>
    <w:p w14:paraId="00C43F65">
      <w:pPr>
        <w:pStyle w:val="55"/>
        <w:keepNext/>
        <w:keepLines w:val="0"/>
        <w:widowControl/>
        <w:numPr>
          <w:ilvl w:val="0"/>
          <w:numId w:val="0"/>
        </w:numPr>
        <w:suppressLineNumbers w:val="0"/>
        <w:shd w:val="clear" w:color="FFFFFF" w:fill="FFFFFF"/>
        <w:tabs>
          <w:tab w:val="left" w:pos="360"/>
        </w:tabs>
        <w:spacing w:before="0" w:after="0" w:line="240" w:lineRule="exact"/>
        <w:jc w:val="center"/>
        <w:rPr>
          <w:rFonts w:hint="eastAsia" w:ascii="黑体" w:eastAsia="黑体" w:hAnsiTheme="minorHAnsi" w:cstheme="minorBidi"/>
          <w:color w:val="000000"/>
          <w:kern w:val="0"/>
          <w:sz w:val="21"/>
          <w:szCs w:val="20"/>
          <w:lang w:val="en-US" w:eastAsia="zh-CN" w:bidi="ar"/>
        </w:rPr>
      </w:pPr>
    </w:p>
    <w:tbl>
      <w:tblPr>
        <w:tblStyle w:val="84"/>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54"/>
        <w:gridCol w:w="852"/>
        <w:gridCol w:w="351"/>
        <w:gridCol w:w="2269"/>
        <w:gridCol w:w="3219"/>
        <w:gridCol w:w="1433"/>
      </w:tblGrid>
      <w:tr w14:paraId="0A63D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1123" w:type="pct"/>
            <w:gridSpan w:val="2"/>
            <w:tcBorders>
              <w:top w:val="single" w:color="auto" w:sz="12" w:space="0"/>
              <w:left w:val="single" w:color="auto" w:sz="12" w:space="0"/>
              <w:bottom w:val="single" w:color="000000" w:sz="2" w:space="0"/>
              <w:right w:val="single" w:color="auto" w:sz="4" w:space="0"/>
            </w:tcBorders>
            <w:vAlign w:val="center"/>
          </w:tcPr>
          <w:p w14:paraId="1BC809B6">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标准名称及编号</w:t>
            </w:r>
          </w:p>
        </w:tc>
        <w:tc>
          <w:tcPr>
            <w:tcW w:w="3877" w:type="pct"/>
            <w:gridSpan w:val="4"/>
            <w:tcBorders>
              <w:top w:val="single" w:color="auto" w:sz="12" w:space="0"/>
              <w:left w:val="nil"/>
              <w:bottom w:val="single" w:color="000000" w:sz="2" w:space="0"/>
              <w:right w:val="single" w:color="auto" w:sz="12" w:space="0"/>
            </w:tcBorders>
            <w:vAlign w:val="center"/>
          </w:tcPr>
          <w:p w14:paraId="44191B55">
            <w:pPr>
              <w:snapToGrid w:val="0"/>
              <w:spacing w:after="0" w:line="240" w:lineRule="auto"/>
              <w:rPr>
                <w:rFonts w:ascii="宋体" w:hAnsi="宋体" w:eastAsia="宋体" w:cs="Arial"/>
                <w:kern w:val="0"/>
                <w:sz w:val="18"/>
                <w:szCs w:val="18"/>
              </w:rPr>
            </w:pPr>
          </w:p>
        </w:tc>
      </w:tr>
      <w:tr w14:paraId="7F825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jc w:val="center"/>
        </w:trPr>
        <w:tc>
          <w:tcPr>
            <w:tcW w:w="669" w:type="pct"/>
            <w:vMerge w:val="restart"/>
            <w:tcBorders>
              <w:top w:val="single" w:color="auto" w:sz="12" w:space="0"/>
              <w:left w:val="single" w:color="auto" w:sz="12" w:space="0"/>
              <w:bottom w:val="single" w:color="auto" w:sz="4" w:space="0"/>
              <w:right w:val="single" w:color="auto" w:sz="4" w:space="0"/>
            </w:tcBorders>
            <w:vAlign w:val="center"/>
          </w:tcPr>
          <w:p w14:paraId="72527987">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总体评价</w:t>
            </w:r>
          </w:p>
        </w:tc>
        <w:tc>
          <w:tcPr>
            <w:tcW w:w="641" w:type="pct"/>
            <w:gridSpan w:val="2"/>
            <w:tcBorders>
              <w:top w:val="single" w:color="auto" w:sz="12" w:space="0"/>
              <w:left w:val="nil"/>
              <w:bottom w:val="single" w:color="auto" w:sz="4" w:space="0"/>
              <w:right w:val="single" w:color="auto" w:sz="4" w:space="0"/>
            </w:tcBorders>
            <w:vAlign w:val="center"/>
          </w:tcPr>
          <w:p w14:paraId="0CC9F922">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适用性</w:t>
            </w:r>
          </w:p>
        </w:tc>
        <w:tc>
          <w:tcPr>
            <w:tcW w:w="2926" w:type="pct"/>
            <w:gridSpan w:val="2"/>
            <w:tcBorders>
              <w:top w:val="single" w:color="auto" w:sz="12" w:space="0"/>
              <w:left w:val="nil"/>
              <w:bottom w:val="single" w:color="auto" w:sz="4" w:space="0"/>
              <w:right w:val="single" w:color="auto" w:sz="4" w:space="0"/>
            </w:tcBorders>
            <w:vAlign w:val="center"/>
          </w:tcPr>
          <w:p w14:paraId="18FD208F">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该标准与当前所在地的产业或社会发展水平是否相匹配？</w:t>
            </w:r>
          </w:p>
        </w:tc>
        <w:tc>
          <w:tcPr>
            <w:tcW w:w="764" w:type="pct"/>
            <w:tcBorders>
              <w:top w:val="single" w:color="auto" w:sz="12" w:space="0"/>
              <w:left w:val="nil"/>
              <w:bottom w:val="single" w:color="auto" w:sz="4" w:space="0"/>
              <w:right w:val="single" w:color="auto" w:sz="12" w:space="0"/>
            </w:tcBorders>
            <w:vAlign w:val="center"/>
          </w:tcPr>
          <w:p w14:paraId="748DBAC4">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宋体"/>
                <w:color w:val="000000"/>
                <w:kern w:val="0"/>
                <w:sz w:val="18"/>
                <w:szCs w:val="18"/>
              </w:rPr>
              <w:t xml:space="preserve">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6696A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669" w:type="pct"/>
            <w:vMerge w:val="continue"/>
            <w:tcBorders>
              <w:top w:val="single" w:color="auto" w:sz="12" w:space="0"/>
              <w:left w:val="single" w:color="auto" w:sz="12" w:space="0"/>
              <w:bottom w:val="single" w:color="auto" w:sz="4" w:space="0"/>
              <w:right w:val="single" w:color="auto" w:sz="4" w:space="0"/>
            </w:tcBorders>
            <w:vAlign w:val="center"/>
          </w:tcPr>
          <w:p w14:paraId="413EEA1A">
            <w:pPr>
              <w:widowControl/>
              <w:snapToGrid w:val="0"/>
              <w:spacing w:after="0" w:line="240" w:lineRule="auto"/>
              <w:rPr>
                <w:rFonts w:ascii="宋体" w:hAnsi="宋体" w:eastAsia="宋体"/>
                <w:color w:val="000000"/>
                <w:kern w:val="0"/>
                <w:sz w:val="18"/>
                <w:szCs w:val="18"/>
              </w:rPr>
            </w:pPr>
          </w:p>
        </w:tc>
        <w:tc>
          <w:tcPr>
            <w:tcW w:w="641" w:type="pct"/>
            <w:gridSpan w:val="2"/>
            <w:tcBorders>
              <w:top w:val="single" w:color="auto" w:sz="4" w:space="0"/>
              <w:left w:val="nil"/>
              <w:bottom w:val="single" w:color="auto" w:sz="4" w:space="0"/>
              <w:right w:val="single" w:color="auto" w:sz="4" w:space="0"/>
            </w:tcBorders>
            <w:vAlign w:val="center"/>
          </w:tcPr>
          <w:p w14:paraId="6E5EC0EF">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协调性</w:t>
            </w:r>
          </w:p>
        </w:tc>
        <w:tc>
          <w:tcPr>
            <w:tcW w:w="2926" w:type="pct"/>
            <w:gridSpan w:val="2"/>
            <w:tcBorders>
              <w:top w:val="single" w:color="auto" w:sz="4" w:space="0"/>
              <w:left w:val="nil"/>
              <w:bottom w:val="single" w:color="auto" w:sz="4" w:space="0"/>
              <w:right w:val="single" w:color="auto" w:sz="4" w:space="0"/>
            </w:tcBorders>
            <w:vAlign w:val="center"/>
          </w:tcPr>
          <w:p w14:paraId="2252DB94">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该标准的特色要求与其他强制性标准的主要技术指标、相关法律法规、部门规章或产业政策是否协调？</w:t>
            </w:r>
          </w:p>
        </w:tc>
        <w:tc>
          <w:tcPr>
            <w:tcW w:w="764" w:type="pct"/>
            <w:tcBorders>
              <w:top w:val="single" w:color="auto" w:sz="4" w:space="0"/>
              <w:left w:val="nil"/>
              <w:bottom w:val="single" w:color="auto" w:sz="4" w:space="0"/>
              <w:right w:val="single" w:color="auto" w:sz="12" w:space="0"/>
            </w:tcBorders>
            <w:vAlign w:val="center"/>
          </w:tcPr>
          <w:p w14:paraId="7D556052">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534847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jc w:val="center"/>
        </w:trPr>
        <w:tc>
          <w:tcPr>
            <w:tcW w:w="669" w:type="pct"/>
            <w:vMerge w:val="continue"/>
            <w:tcBorders>
              <w:top w:val="single" w:color="auto" w:sz="12" w:space="0"/>
              <w:left w:val="single" w:color="auto" w:sz="12" w:space="0"/>
              <w:bottom w:val="single" w:color="auto" w:sz="4" w:space="0"/>
              <w:right w:val="single" w:color="auto" w:sz="4" w:space="0"/>
            </w:tcBorders>
            <w:vAlign w:val="center"/>
          </w:tcPr>
          <w:p w14:paraId="7BB1E2AA">
            <w:pPr>
              <w:widowControl/>
              <w:snapToGrid w:val="0"/>
              <w:spacing w:after="0" w:line="240" w:lineRule="auto"/>
              <w:rPr>
                <w:rFonts w:ascii="宋体" w:hAnsi="宋体" w:eastAsia="宋体"/>
                <w:color w:val="000000"/>
                <w:kern w:val="0"/>
                <w:sz w:val="18"/>
                <w:szCs w:val="18"/>
              </w:rPr>
            </w:pPr>
          </w:p>
        </w:tc>
        <w:tc>
          <w:tcPr>
            <w:tcW w:w="641" w:type="pct"/>
            <w:gridSpan w:val="2"/>
            <w:tcBorders>
              <w:top w:val="single" w:color="auto" w:sz="4" w:space="0"/>
              <w:left w:val="nil"/>
              <w:bottom w:val="single" w:color="auto" w:sz="4" w:space="0"/>
              <w:right w:val="single" w:color="auto" w:sz="4" w:space="0"/>
            </w:tcBorders>
            <w:vAlign w:val="center"/>
          </w:tcPr>
          <w:p w14:paraId="4565375A">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执行情况</w:t>
            </w:r>
          </w:p>
        </w:tc>
        <w:tc>
          <w:tcPr>
            <w:tcW w:w="2926" w:type="pct"/>
            <w:gridSpan w:val="2"/>
            <w:tcBorders>
              <w:top w:val="single" w:color="auto" w:sz="4" w:space="0"/>
              <w:left w:val="nil"/>
              <w:bottom w:val="single" w:color="auto" w:sz="4" w:space="0"/>
              <w:right w:val="single" w:color="auto" w:sz="4" w:space="0"/>
            </w:tcBorders>
            <w:vAlign w:val="center"/>
          </w:tcPr>
          <w:p w14:paraId="3E45AAD4">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标准执行单位或人员是否按照标准要求组织开展相关工作？</w:t>
            </w:r>
          </w:p>
        </w:tc>
        <w:tc>
          <w:tcPr>
            <w:tcW w:w="764" w:type="pct"/>
            <w:tcBorders>
              <w:top w:val="single" w:color="auto" w:sz="4" w:space="0"/>
              <w:left w:val="nil"/>
              <w:bottom w:val="single" w:color="auto" w:sz="4" w:space="0"/>
              <w:right w:val="single" w:color="auto" w:sz="12" w:space="0"/>
            </w:tcBorders>
            <w:vAlign w:val="center"/>
          </w:tcPr>
          <w:p w14:paraId="2645FAAB">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4CB48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jc w:val="center"/>
        </w:trPr>
        <w:tc>
          <w:tcPr>
            <w:tcW w:w="669" w:type="pct"/>
            <w:vMerge w:val="restart"/>
            <w:tcBorders>
              <w:top w:val="nil"/>
              <w:left w:val="single" w:color="auto" w:sz="12" w:space="0"/>
              <w:bottom w:val="single" w:color="auto" w:sz="4" w:space="0"/>
              <w:right w:val="single" w:color="auto" w:sz="4" w:space="0"/>
            </w:tcBorders>
            <w:vAlign w:val="center"/>
          </w:tcPr>
          <w:p w14:paraId="1878A97E">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实施信息</w:t>
            </w:r>
          </w:p>
        </w:tc>
        <w:tc>
          <w:tcPr>
            <w:tcW w:w="3567" w:type="pct"/>
            <w:gridSpan w:val="4"/>
            <w:tcBorders>
              <w:top w:val="single" w:color="auto" w:sz="4" w:space="0"/>
              <w:left w:val="nil"/>
              <w:bottom w:val="single" w:color="auto" w:sz="4" w:space="0"/>
              <w:right w:val="single" w:color="auto" w:sz="4" w:space="0"/>
            </w:tcBorders>
            <w:vAlign w:val="center"/>
          </w:tcPr>
          <w:p w14:paraId="4E95C0B9">
            <w:pPr>
              <w:widowControl/>
              <w:kinsoku w:val="0"/>
              <w:autoSpaceDE w:val="0"/>
              <w:autoSpaceDN w:val="0"/>
              <w:snapToGrid w:val="0"/>
              <w:spacing w:after="0" w:line="240" w:lineRule="auto"/>
              <w:jc w:val="left"/>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标准实施过程中是否存在阻力和障碍？</w:t>
            </w:r>
          </w:p>
        </w:tc>
        <w:tc>
          <w:tcPr>
            <w:tcW w:w="764" w:type="pct"/>
            <w:tcBorders>
              <w:top w:val="single" w:color="auto" w:sz="4" w:space="0"/>
              <w:left w:val="nil"/>
              <w:bottom w:val="single" w:color="auto" w:sz="4" w:space="0"/>
              <w:right w:val="single" w:color="auto" w:sz="12" w:space="0"/>
            </w:tcBorders>
            <w:vAlign w:val="center"/>
          </w:tcPr>
          <w:p w14:paraId="073AB1B3">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66D0F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669" w:type="pct"/>
            <w:vMerge w:val="continue"/>
            <w:tcBorders>
              <w:top w:val="nil"/>
              <w:left w:val="single" w:color="auto" w:sz="12" w:space="0"/>
              <w:bottom w:val="single" w:color="auto" w:sz="4" w:space="0"/>
              <w:right w:val="single" w:color="auto" w:sz="4" w:space="0"/>
            </w:tcBorders>
            <w:vAlign w:val="center"/>
          </w:tcPr>
          <w:p w14:paraId="3EA0DC36">
            <w:pPr>
              <w:widowControl/>
              <w:snapToGrid w:val="0"/>
              <w:spacing w:after="0" w:line="240" w:lineRule="auto"/>
              <w:jc w:val="center"/>
              <w:rPr>
                <w:rFonts w:ascii="宋体" w:hAnsi="宋体" w:eastAsia="宋体"/>
                <w:color w:val="000000"/>
                <w:kern w:val="0"/>
                <w:sz w:val="18"/>
                <w:szCs w:val="18"/>
              </w:rPr>
            </w:pPr>
          </w:p>
        </w:tc>
        <w:tc>
          <w:tcPr>
            <w:tcW w:w="1851" w:type="pct"/>
            <w:gridSpan w:val="3"/>
            <w:tcBorders>
              <w:top w:val="single" w:color="auto" w:sz="4" w:space="0"/>
              <w:left w:val="nil"/>
              <w:bottom w:val="single" w:color="auto" w:sz="4" w:space="0"/>
              <w:right w:val="single" w:color="auto" w:sz="4" w:space="0"/>
            </w:tcBorders>
            <w:vAlign w:val="center"/>
          </w:tcPr>
          <w:p w14:paraId="6BECE7A6">
            <w:pPr>
              <w:widowControl/>
              <w:kinsoku w:val="0"/>
              <w:autoSpaceDE w:val="0"/>
              <w:autoSpaceDN w:val="0"/>
              <w:snapToGrid w:val="0"/>
              <w:spacing w:after="0" w:line="240" w:lineRule="auto"/>
              <w:jc w:val="left"/>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实施过程中存在的主要问题</w:t>
            </w:r>
          </w:p>
        </w:tc>
        <w:tc>
          <w:tcPr>
            <w:tcW w:w="2480" w:type="pct"/>
            <w:gridSpan w:val="2"/>
            <w:tcBorders>
              <w:top w:val="single" w:color="auto" w:sz="4" w:space="0"/>
              <w:left w:val="nil"/>
              <w:bottom w:val="single" w:color="auto" w:sz="4" w:space="0"/>
              <w:right w:val="single" w:color="auto" w:sz="12" w:space="0"/>
            </w:tcBorders>
            <w:vAlign w:val="center"/>
          </w:tcPr>
          <w:p w14:paraId="428B7C32">
            <w:pPr>
              <w:snapToGrid w:val="0"/>
              <w:spacing w:after="0" w:line="240" w:lineRule="auto"/>
              <w:rPr>
                <w:rFonts w:ascii="宋体" w:hAnsi="宋体" w:eastAsia="宋体" w:cs="Arial"/>
                <w:kern w:val="0"/>
                <w:sz w:val="18"/>
                <w:szCs w:val="18"/>
              </w:rPr>
            </w:pPr>
          </w:p>
        </w:tc>
      </w:tr>
      <w:tr w14:paraId="5000D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3" w:hRule="atLeast"/>
          <w:jc w:val="center"/>
        </w:trPr>
        <w:tc>
          <w:tcPr>
            <w:tcW w:w="669" w:type="pct"/>
            <w:vMerge w:val="restart"/>
            <w:tcBorders>
              <w:top w:val="nil"/>
              <w:left w:val="single" w:color="auto" w:sz="12" w:space="0"/>
              <w:bottom w:val="single" w:color="auto" w:sz="4" w:space="0"/>
              <w:right w:val="single" w:color="auto" w:sz="4" w:space="0"/>
            </w:tcBorders>
            <w:vAlign w:val="center"/>
          </w:tcPr>
          <w:p w14:paraId="1F39B8BA">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修改意见</w:t>
            </w:r>
          </w:p>
        </w:tc>
        <w:tc>
          <w:tcPr>
            <w:tcW w:w="641" w:type="pct"/>
            <w:gridSpan w:val="2"/>
            <w:tcBorders>
              <w:top w:val="single" w:color="auto" w:sz="4" w:space="0"/>
              <w:left w:val="nil"/>
              <w:bottom w:val="single" w:color="auto" w:sz="4" w:space="0"/>
              <w:right w:val="single" w:color="auto" w:sz="4" w:space="0"/>
            </w:tcBorders>
            <w:vAlign w:val="center"/>
          </w:tcPr>
          <w:p w14:paraId="73A86F50">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总体意见</w:t>
            </w:r>
          </w:p>
        </w:tc>
        <w:tc>
          <w:tcPr>
            <w:tcW w:w="3691" w:type="pct"/>
            <w:gridSpan w:val="3"/>
            <w:tcBorders>
              <w:top w:val="single" w:color="auto" w:sz="4" w:space="0"/>
              <w:left w:val="nil"/>
              <w:bottom w:val="single" w:color="auto" w:sz="4" w:space="0"/>
              <w:right w:val="single" w:color="auto" w:sz="12" w:space="0"/>
            </w:tcBorders>
            <w:vAlign w:val="center"/>
          </w:tcPr>
          <w:p w14:paraId="41F6F516">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适用    </w:t>
            </w: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修改    </w:t>
            </w:r>
            <w:r>
              <w:rPr>
                <w:rFonts w:ascii="宋体" w:hAnsi="宋体" w:eastAsia="Times New Roman"/>
                <w:color w:val="000000"/>
                <w:kern w:val="0"/>
              </w:rPr>
              <w:sym w:font="Wingdings" w:char="00A8"/>
            </w:r>
            <w:r>
              <w:rPr>
                <w:rFonts w:hint="eastAsia" w:ascii="宋体" w:hAnsi="宋体" w:eastAsia="宋体"/>
                <w:color w:val="000000"/>
                <w:kern w:val="0"/>
                <w:sz w:val="18"/>
                <w:szCs w:val="18"/>
              </w:rPr>
              <w:t>废止</w:t>
            </w:r>
          </w:p>
        </w:tc>
      </w:tr>
      <w:tr w14:paraId="5A7F5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9" w:hRule="atLeast"/>
          <w:jc w:val="center"/>
        </w:trPr>
        <w:tc>
          <w:tcPr>
            <w:tcW w:w="669" w:type="pct"/>
            <w:vMerge w:val="continue"/>
            <w:tcBorders>
              <w:top w:val="nil"/>
              <w:left w:val="single" w:color="auto" w:sz="12" w:space="0"/>
              <w:bottom w:val="single" w:color="auto" w:sz="4" w:space="0"/>
              <w:right w:val="single" w:color="auto" w:sz="4" w:space="0"/>
            </w:tcBorders>
            <w:vAlign w:val="center"/>
          </w:tcPr>
          <w:p w14:paraId="7145819F">
            <w:pPr>
              <w:widowControl/>
              <w:snapToGrid w:val="0"/>
              <w:spacing w:after="0" w:line="240" w:lineRule="auto"/>
              <w:jc w:val="center"/>
              <w:rPr>
                <w:rFonts w:ascii="宋体" w:hAnsi="宋体" w:eastAsia="宋体"/>
                <w:color w:val="000000"/>
                <w:kern w:val="0"/>
                <w:sz w:val="18"/>
                <w:szCs w:val="18"/>
              </w:rPr>
            </w:pPr>
          </w:p>
        </w:tc>
        <w:tc>
          <w:tcPr>
            <w:tcW w:w="641" w:type="pct"/>
            <w:gridSpan w:val="2"/>
            <w:tcBorders>
              <w:top w:val="single" w:color="auto" w:sz="4" w:space="0"/>
              <w:left w:val="nil"/>
              <w:bottom w:val="single" w:color="000000" w:sz="2" w:space="0"/>
              <w:right w:val="single" w:color="auto" w:sz="4" w:space="0"/>
            </w:tcBorders>
            <w:vAlign w:val="center"/>
          </w:tcPr>
          <w:p w14:paraId="07AB3EF2">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具体修</w:t>
            </w:r>
          </w:p>
          <w:p w14:paraId="3D310EA5">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改意见</w:t>
            </w:r>
          </w:p>
        </w:tc>
        <w:tc>
          <w:tcPr>
            <w:tcW w:w="3691" w:type="pct"/>
            <w:gridSpan w:val="3"/>
            <w:tcBorders>
              <w:top w:val="single" w:color="auto" w:sz="4" w:space="0"/>
              <w:left w:val="nil"/>
              <w:bottom w:val="single" w:color="000000" w:sz="2" w:space="0"/>
              <w:right w:val="single" w:color="auto" w:sz="12" w:space="0"/>
            </w:tcBorders>
            <w:vAlign w:val="center"/>
          </w:tcPr>
          <w:p w14:paraId="7D32B62E">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需修改章节：</w:t>
            </w:r>
          </w:p>
          <w:p w14:paraId="34D1D1FD">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具体修改意见：</w:t>
            </w:r>
          </w:p>
        </w:tc>
      </w:tr>
      <w:tr w14:paraId="29618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jc w:val="center"/>
        </w:trPr>
        <w:tc>
          <w:tcPr>
            <w:tcW w:w="669" w:type="pct"/>
            <w:tcBorders>
              <w:top w:val="single" w:color="auto" w:sz="4" w:space="0"/>
              <w:left w:val="single" w:color="auto" w:sz="12" w:space="0"/>
              <w:bottom w:val="single" w:color="auto" w:sz="4" w:space="0"/>
              <w:right w:val="single" w:color="auto" w:sz="4" w:space="0"/>
            </w:tcBorders>
            <w:vAlign w:val="center"/>
          </w:tcPr>
          <w:p w14:paraId="45A3284D">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反馈渠道</w:t>
            </w:r>
          </w:p>
        </w:tc>
        <w:tc>
          <w:tcPr>
            <w:tcW w:w="4331" w:type="pct"/>
            <w:gridSpan w:val="5"/>
            <w:tcBorders>
              <w:top w:val="single" w:color="000000" w:sz="2" w:space="0"/>
              <w:left w:val="nil"/>
              <w:bottom w:val="single" w:color="000000" w:sz="2" w:space="0"/>
              <w:right w:val="single" w:color="auto" w:sz="12" w:space="0"/>
            </w:tcBorders>
            <w:vAlign w:val="center"/>
          </w:tcPr>
          <w:p w14:paraId="168FFC20">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标准化行政主管部门</w:t>
            </w:r>
          </w:p>
          <w:p w14:paraId="19F9D825">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省直行业主管部门</w:t>
            </w:r>
          </w:p>
          <w:p w14:paraId="075C8C66">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专业标准化技术委员会（工作组）</w:t>
            </w:r>
          </w:p>
          <w:p w14:paraId="6CCED74E">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标准起草组（牵头起草单位）</w:t>
            </w:r>
          </w:p>
        </w:tc>
      </w:tr>
      <w:tr w14:paraId="7ED28A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4" w:hRule="atLeast"/>
          <w:jc w:val="center"/>
        </w:trPr>
        <w:tc>
          <w:tcPr>
            <w:tcW w:w="669" w:type="pct"/>
            <w:tcBorders>
              <w:top w:val="single" w:color="auto" w:sz="4" w:space="0"/>
              <w:left w:val="single" w:color="auto" w:sz="12" w:space="0"/>
              <w:bottom w:val="single" w:color="auto" w:sz="12" w:space="0"/>
              <w:right w:val="single" w:color="auto" w:sz="4" w:space="0"/>
            </w:tcBorders>
            <w:vAlign w:val="center"/>
          </w:tcPr>
          <w:p w14:paraId="2722DB6D">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反馈人</w:t>
            </w:r>
          </w:p>
        </w:tc>
        <w:tc>
          <w:tcPr>
            <w:tcW w:w="4331" w:type="pct"/>
            <w:gridSpan w:val="5"/>
            <w:tcBorders>
              <w:top w:val="single" w:color="000000" w:sz="2" w:space="0"/>
              <w:left w:val="nil"/>
              <w:bottom w:val="single" w:color="auto" w:sz="12" w:space="0"/>
              <w:right w:val="single" w:color="auto" w:sz="12" w:space="0"/>
            </w:tcBorders>
            <w:vAlign w:val="center"/>
          </w:tcPr>
          <w:p w14:paraId="210CA657">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 xml:space="preserve">姓名：         </w:t>
            </w:r>
            <w:r>
              <w:rPr>
                <w:rFonts w:ascii="宋体" w:hAnsi="宋体" w:eastAsia="宋体"/>
                <w:color w:val="000000"/>
                <w:kern w:val="0"/>
                <w:sz w:val="18"/>
                <w:szCs w:val="18"/>
              </w:rPr>
              <w:t xml:space="preserve">   </w:t>
            </w:r>
            <w:r>
              <w:rPr>
                <w:rFonts w:hint="eastAsia" w:ascii="宋体" w:hAnsi="宋体" w:eastAsia="宋体"/>
                <w:color w:val="000000"/>
                <w:kern w:val="0"/>
                <w:sz w:val="18"/>
                <w:szCs w:val="18"/>
              </w:rPr>
              <w:t xml:space="preserve">  单位：                      联系方式：</w:t>
            </w:r>
          </w:p>
        </w:tc>
      </w:tr>
    </w:tbl>
    <w:p w14:paraId="64C5B2B8">
      <w:pPr>
        <w:pStyle w:val="82"/>
        <w:ind w:firstLine="420"/>
      </w:pPr>
      <w:r>
        <w:rPr>
          <w:rFonts w:hint="eastAsia"/>
        </w:rPr>
        <w:t>填表说明：为及时掌握标准实施情况，了解地方标准实施过程中存在的问题，并为标准复审提供科学依据，特制定《湖北省地方标准实施信息及意见反馈表》。可根据实际情况在表格中对应方框打勾，有需要文字说明的反馈意见可在相应位置进行文字描述，也可另附页。</w:t>
      </w:r>
    </w:p>
    <w:p w14:paraId="54F26ED4">
      <w:pPr>
        <w:pStyle w:val="41"/>
        <w:ind w:left="0" w:leftChars="0" w:firstLine="0" w:firstLineChars="0"/>
        <w:jc w:val="center"/>
        <w:rPr>
          <w:rFonts w:hint="default"/>
          <w:lang w:val="en-US" w:eastAsia="zh-CN"/>
        </w:rPr>
      </w:pPr>
      <w:bookmarkStart w:id="278" w:name="BookMark8"/>
      <w:r>
        <w:rPr>
          <w:rFonts w:hint="eastAsia"/>
        </w:rPr>
        <w:drawing>
          <wp:inline distT="0" distB="0" distL="0" distR="0">
            <wp:extent cx="1485900" cy="317500"/>
            <wp:effectExtent l="0" t="0" r="0" b="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8"/>
    </w:p>
    <w:sectPr>
      <w:footerReference r:id="rId13" w:type="default"/>
      <w:pgSz w:w="11900" w:h="16840"/>
      <w:pgMar w:top="561" w:right="1134" w:bottom="561" w:left="1418" w:header="1418" w:footer="720" w:gutter="0"/>
      <w:pgNumType w:fmt="decimal"/>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FF3ED">
    <w:pPr>
      <w:pStyle w:val="10"/>
      <w:jc w:val="both"/>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8</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26C88">
    <w:pPr>
      <w:pStyle w:val="62"/>
    </w:pPr>
    <w:r>
      <w:rPr>
        <w:rFonts w:hint="eastAsia"/>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0707A">
    <w:pPr>
      <w:pStyle w:val="62"/>
      <w:rPr>
        <w:rFonts w:hint="eastAsia" w:eastAsia="宋体"/>
        <w:lang w:eastAsia="zh-CN"/>
      </w:rPr>
    </w:pPr>
    <w:r>
      <w:rPr>
        <w:rFonts w:hint="eastAsia"/>
        <w:lang w:eastAsia="zh-CN"/>
      </w:rPr>
      <w:t>Ⅱ</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AA5FA">
    <w:pPr>
      <w:spacing w:line="171" w:lineRule="auto"/>
      <w:ind w:left="8628"/>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A4C2AA">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AA4C2A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4CBDF">
    <w:pPr>
      <w:pStyle w:val="10"/>
      <w:jc w:val="right"/>
      <w:rPr>
        <w:rFonts w:asciiTheme="minorEastAsia" w:hAnsiTheme="minorEastAsia"/>
      </w:rPr>
    </w:pPr>
    <w:r>
      <w:rPr>
        <w:rFonts w:asciiTheme="minorEastAsia" w:hAnsiTheme="minorEastAsi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8E6DA">
                          <w:pPr>
                            <w:pStyle w:val="1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DB8E6DA">
                    <w:pPr>
                      <w:pStyle w:val="1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2BD45">
    <w:pPr>
      <w:pStyle w:val="10"/>
      <w:jc w:val="both"/>
      <w:rPr>
        <w:rFonts w:ascii="宋体" w:hAnsi="宋体"/>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F275C2">
                          <w:pPr>
                            <w:pStyle w:val="1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8</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F275C2">
                    <w:pPr>
                      <w:pStyle w:val="1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8</w:t>
                    </w:r>
                    <w:r>
                      <w:rPr>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2C021">
    <w:pPr>
      <w:spacing w:line="171" w:lineRule="auto"/>
      <w:ind w:left="8628"/>
      <w:rPr>
        <w:rFonts w:ascii="宋体" w:hAnsi="宋体" w:eastAsia="宋体" w:cs="宋体"/>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B5380E">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AB5380E">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D1EA6">
    <w:pPr>
      <w:pStyle w:val="61"/>
      <w:ind w:right="840"/>
      <w:jc w:val="both"/>
    </w:pPr>
    <w:r>
      <w:rPr>
        <w:rFonts w:hAnsi="黑体"/>
      </w:rPr>
      <w:t xml:space="preserve">DB42/T </w:t>
    </w:r>
    <w:r>
      <w:rPr>
        <w:rFonts w:hint="eastAsia" w:ascii="Times New Roman"/>
      </w:rPr>
      <w:t>XXXX</w:t>
    </w:r>
    <w:r>
      <w:rPr>
        <w:rFonts w:hint="eastAsia" w:ascii="Times New Roman"/>
        <w:lang w:val="en-US" w:eastAsia="zh-CN"/>
      </w:rPr>
      <w:t>.1</w:t>
    </w:r>
    <w:r>
      <w:rPr>
        <w:rFonts w:hAnsi="黑体"/>
      </w:rPr>
      <w:t>—</w:t>
    </w:r>
    <w:r>
      <w:rPr>
        <w:rFonts w:hint="eastAsia" w:ascii="Times New Roma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A0644">
    <w:pPr>
      <w:pStyle w:val="61"/>
      <w:rPr>
        <w:rFonts w:hAnsi="黑体"/>
      </w:rPr>
    </w:pPr>
    <w:r>
      <w:rPr>
        <w:rFonts w:hAnsi="黑体"/>
      </w:rPr>
      <w:t xml:space="preserve">DB42/T </w:t>
    </w:r>
    <w:r>
      <w:rPr>
        <w:rFonts w:hint="eastAsia" w:ascii="Times New Roman"/>
      </w:rPr>
      <w:t>XXXX</w:t>
    </w:r>
    <w:r>
      <w:rPr>
        <w:rFonts w:hint="eastAsia" w:ascii="Times New Roman"/>
        <w:lang w:val="en-US" w:eastAsia="zh-CN"/>
      </w:rPr>
      <w:t>.1</w:t>
    </w:r>
    <w:r>
      <w:rPr>
        <w:rFonts w:hAnsi="黑体"/>
      </w:rPr>
      <w:t>—</w:t>
    </w:r>
    <w:r>
      <w:rPr>
        <w:rFonts w:hint="eastAsia" w:ascii="Times New Roman"/>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E9E9C">
    <w:pPr>
      <w:spacing w:before="16" w:line="180" w:lineRule="auto"/>
      <w:jc w:val="right"/>
      <w:rPr>
        <w:rFonts w:ascii="黑体" w:hAnsi="黑体" w:eastAsia="黑体" w:cs="黑体"/>
        <w:sz w:val="21"/>
        <w:szCs w:val="21"/>
      </w:rPr>
    </w:pPr>
    <w:r>
      <w:rPr>
        <w:rFonts w:hAnsi="黑体"/>
      </w:rPr>
      <w:t xml:space="preserve">DB42/T </w:t>
    </w:r>
    <w:r>
      <w:rPr>
        <w:rFonts w:hint="eastAsia" w:ascii="Times New Roman"/>
      </w:rPr>
      <w:t>XXXX</w:t>
    </w:r>
    <w:r>
      <w:rPr>
        <w:rFonts w:hint="eastAsia" w:ascii="Times New Roman"/>
        <w:lang w:val="en-US" w:eastAsia="zh-CN"/>
      </w:rPr>
      <w:t>.1</w:t>
    </w:r>
    <w:r>
      <w:rPr>
        <w:rFonts w:hAnsi="黑体"/>
      </w:rPr>
      <w:t>—</w:t>
    </w:r>
    <w:r>
      <w:rPr>
        <w:rFonts w:hint="eastAsia" w:ascii="Times New Roman"/>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AC34F">
    <w:pPr>
      <w:pStyle w:val="61"/>
      <w:rPr>
        <w:rFonts w:hAnsi="黑体"/>
      </w:rPr>
    </w:pPr>
    <w:r>
      <w:rPr>
        <w:rFonts w:hAnsi="黑体"/>
      </w:rPr>
      <w:t xml:space="preserve">DB42/T </w:t>
    </w:r>
    <w:r>
      <w:rPr>
        <w:rFonts w:hint="eastAsia" w:ascii="Times New Roman"/>
      </w:rPr>
      <w:t>XXXX</w:t>
    </w:r>
    <w:r>
      <w:rPr>
        <w:rFonts w:hAnsi="黑体"/>
      </w:rPr>
      <w:t>—</w:t>
    </w:r>
    <w:r>
      <w:rPr>
        <w:rFonts w:hint="eastAsia" w:ascii="Times New Roma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3D1C2"/>
    <w:multiLevelType w:val="singleLevel"/>
    <w:tmpl w:val="85C3D1C2"/>
    <w:lvl w:ilvl="0" w:tentative="0">
      <w:start w:val="1"/>
      <w:numFmt w:val="lowerLetter"/>
      <w:suff w:val="nothing"/>
      <w:lvlText w:val="%1）"/>
      <w:lvlJc w:val="left"/>
    </w:lvl>
  </w:abstractNum>
  <w:abstractNum w:abstractNumId="1">
    <w:nsid w:val="90AF1475"/>
    <w:multiLevelType w:val="multilevel"/>
    <w:tmpl w:val="90AF1475"/>
    <w:lvl w:ilvl="0" w:tentative="0">
      <w:start w:val="1"/>
      <w:numFmt w:val="lowerLetter"/>
      <w:lvlText w:val="%1）"/>
      <w:lvlJc w:val="left"/>
      <w:pPr>
        <w:ind w:left="780" w:hanging="360"/>
      </w:pPr>
      <w:rPr>
        <w:rFonts w:hint="default" w:ascii="Times New Roman" w:hAnsi="Times New Roman" w:eastAsia="宋体" w:cs="Times New Roman"/>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BA628729"/>
    <w:multiLevelType w:val="singleLevel"/>
    <w:tmpl w:val="BA628729"/>
    <w:lvl w:ilvl="0" w:tentative="0">
      <w:start w:val="1"/>
      <w:numFmt w:val="lowerLetter"/>
      <w:suff w:val="space"/>
      <w:lvlText w:val="%1)"/>
      <w:lvlJc w:val="left"/>
    </w:lvl>
  </w:abstractNum>
  <w:abstractNum w:abstractNumId="3">
    <w:nsid w:val="CDF3D785"/>
    <w:multiLevelType w:val="multilevel"/>
    <w:tmpl w:val="CDF3D785"/>
    <w:lvl w:ilvl="0" w:tentative="0">
      <w:start w:val="1"/>
      <w:numFmt w:val="lowerLetter"/>
      <w:lvlText w:val="%1）"/>
      <w:lvlJc w:val="left"/>
      <w:pPr>
        <w:ind w:left="780" w:hanging="360"/>
      </w:pPr>
      <w:rPr>
        <w:rFonts w:hint="default" w:ascii="Times New Roman" w:hAnsi="Times New Roman" w:eastAsia="宋体" w:cs="Times New Roman"/>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6"/>
      <w:suff w:val="nothing"/>
      <w:lvlText w:val="%1.%2.%3　"/>
      <w:lvlJc w:val="left"/>
      <w:pPr>
        <w:ind w:left="0" w:firstLine="0"/>
      </w:pPr>
      <w:rPr>
        <w:rFonts w:hint="default"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53"/>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50"/>
      <w:suff w:val="nothing"/>
      <w:lvlText w:val="%1——"/>
      <w:lvlJc w:val="left"/>
      <w:pPr>
        <w:ind w:left="833" w:hanging="408"/>
      </w:pPr>
      <w:rPr>
        <w:rFonts w:hint="eastAsia"/>
        <w:lang w:val="en-US"/>
      </w:rPr>
    </w:lvl>
    <w:lvl w:ilvl="1" w:tentative="0">
      <w:start w:val="1"/>
      <w:numFmt w:val="decimal"/>
      <w:pStyle w:val="51"/>
      <w:lvlText w:val="%2）"/>
      <w:lvlJc w:val="left"/>
      <w:pPr>
        <w:tabs>
          <w:tab w:val="left" w:pos="618"/>
        </w:tabs>
        <w:ind w:left="1122" w:hanging="413"/>
      </w:pPr>
      <w:rPr>
        <w:rFonts w:ascii="宋体" w:hAnsi="Times New Roman" w:eastAsia="宋体" w:cs="Times New Roman"/>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37335B"/>
    <w:multiLevelType w:val="multilevel"/>
    <w:tmpl w:val="3D37335B"/>
    <w:lvl w:ilvl="0" w:tentative="0">
      <w:start w:val="1"/>
      <w:numFmt w:val="lowerLetter"/>
      <w:pStyle w:val="4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ascii="宋体" w:hAnsi="Times New Roman" w:eastAsia="宋体" w:cs="宋体"/>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4F302902"/>
    <w:multiLevelType w:val="multilevel"/>
    <w:tmpl w:val="4F302902"/>
    <w:lvl w:ilvl="0" w:tentative="0">
      <w:start w:val="1"/>
      <w:numFmt w:val="none"/>
      <w:pStyle w:val="79"/>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60B55DC2"/>
    <w:multiLevelType w:val="multilevel"/>
    <w:tmpl w:val="60B55DC2"/>
    <w:lvl w:ilvl="0" w:tentative="0">
      <w:start w:val="1"/>
      <w:numFmt w:val="upperLetter"/>
      <w:pStyle w:val="54"/>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57D3FBC"/>
    <w:multiLevelType w:val="multilevel"/>
    <w:tmpl w:val="657D3FBC"/>
    <w:lvl w:ilvl="0" w:tentative="0">
      <w:start w:val="1"/>
      <w:numFmt w:val="upperLetter"/>
      <w:pStyle w:val="8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5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5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7"/>
  </w:num>
  <w:num w:numId="3">
    <w:abstractNumId w:val="6"/>
  </w:num>
  <w:num w:numId="4">
    <w:abstractNumId w:val="5"/>
  </w:num>
  <w:num w:numId="5">
    <w:abstractNumId w:val="10"/>
  </w:num>
  <w:num w:numId="6">
    <w:abstractNumId w:val="11"/>
  </w:num>
  <w:num w:numId="7">
    <w:abstractNumId w:val="8"/>
  </w:num>
  <w:num w:numId="8">
    <w:abstractNumId w:val="9"/>
  </w:num>
  <w:num w:numId="9">
    <w:abstractNumId w:val="12"/>
  </w:num>
  <w:num w:numId="10">
    <w:abstractNumId w:val="1"/>
  </w:num>
  <w:num w:numId="11">
    <w:abstractNumId w:val="3"/>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0"/>
  <w:bordersDoNotSurroundFooter w:val="0"/>
  <w:hideSpellingErrors/>
  <w:documentProtection w:enforcement="0"/>
  <w:defaultTabStop w:val="420"/>
  <w:evenAndOddHeaders w:val="1"/>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xNmVhZWU1MzljNWU3OWIyYzM2YmI5NWU4ODA5MTQifQ=="/>
  </w:docVars>
  <w:rsids>
    <w:rsidRoot w:val="5DD8549F"/>
    <w:rsid w:val="000022BF"/>
    <w:rsid w:val="00017A9B"/>
    <w:rsid w:val="00037141"/>
    <w:rsid w:val="00054066"/>
    <w:rsid w:val="00056602"/>
    <w:rsid w:val="00057F3A"/>
    <w:rsid w:val="00070542"/>
    <w:rsid w:val="000719D1"/>
    <w:rsid w:val="000744EC"/>
    <w:rsid w:val="00075DA4"/>
    <w:rsid w:val="000A0801"/>
    <w:rsid w:val="000D41B8"/>
    <w:rsid w:val="000D64AD"/>
    <w:rsid w:val="000E05F5"/>
    <w:rsid w:val="000F1828"/>
    <w:rsid w:val="00102EDF"/>
    <w:rsid w:val="00110FEF"/>
    <w:rsid w:val="00113CC4"/>
    <w:rsid w:val="0014268E"/>
    <w:rsid w:val="00142BE9"/>
    <w:rsid w:val="00162739"/>
    <w:rsid w:val="00162E07"/>
    <w:rsid w:val="001637E9"/>
    <w:rsid w:val="00181A48"/>
    <w:rsid w:val="001A4CBB"/>
    <w:rsid w:val="001A61D6"/>
    <w:rsid w:val="001A6A51"/>
    <w:rsid w:val="001D1843"/>
    <w:rsid w:val="001D26AD"/>
    <w:rsid w:val="001E0F30"/>
    <w:rsid w:val="001E1A19"/>
    <w:rsid w:val="001E247A"/>
    <w:rsid w:val="001E4E2B"/>
    <w:rsid w:val="001E5CAA"/>
    <w:rsid w:val="00201B83"/>
    <w:rsid w:val="00206873"/>
    <w:rsid w:val="00232532"/>
    <w:rsid w:val="0024361C"/>
    <w:rsid w:val="00255E01"/>
    <w:rsid w:val="0026344B"/>
    <w:rsid w:val="0026478F"/>
    <w:rsid w:val="002767D8"/>
    <w:rsid w:val="002779BB"/>
    <w:rsid w:val="002965D1"/>
    <w:rsid w:val="00297001"/>
    <w:rsid w:val="00297391"/>
    <w:rsid w:val="002A1EB3"/>
    <w:rsid w:val="002A706B"/>
    <w:rsid w:val="002C7958"/>
    <w:rsid w:val="002E2083"/>
    <w:rsid w:val="002E34A1"/>
    <w:rsid w:val="002F0221"/>
    <w:rsid w:val="003146A6"/>
    <w:rsid w:val="00354372"/>
    <w:rsid w:val="003A3168"/>
    <w:rsid w:val="003C1309"/>
    <w:rsid w:val="003C5E1B"/>
    <w:rsid w:val="003E1943"/>
    <w:rsid w:val="003E243C"/>
    <w:rsid w:val="003E4989"/>
    <w:rsid w:val="003E4E21"/>
    <w:rsid w:val="003F258B"/>
    <w:rsid w:val="004201BA"/>
    <w:rsid w:val="00455F2B"/>
    <w:rsid w:val="00470BAD"/>
    <w:rsid w:val="004A2F10"/>
    <w:rsid w:val="004B35F9"/>
    <w:rsid w:val="004C1E75"/>
    <w:rsid w:val="004C67FF"/>
    <w:rsid w:val="004E476D"/>
    <w:rsid w:val="004F4C81"/>
    <w:rsid w:val="005064A6"/>
    <w:rsid w:val="00523029"/>
    <w:rsid w:val="00535E03"/>
    <w:rsid w:val="0054315E"/>
    <w:rsid w:val="0054620D"/>
    <w:rsid w:val="0056664C"/>
    <w:rsid w:val="00567B0C"/>
    <w:rsid w:val="00570549"/>
    <w:rsid w:val="005727C0"/>
    <w:rsid w:val="0057519D"/>
    <w:rsid w:val="00575EA7"/>
    <w:rsid w:val="0058125E"/>
    <w:rsid w:val="0058196B"/>
    <w:rsid w:val="0058410C"/>
    <w:rsid w:val="00585C24"/>
    <w:rsid w:val="005B17E5"/>
    <w:rsid w:val="005D202C"/>
    <w:rsid w:val="005E79D5"/>
    <w:rsid w:val="005E7D6E"/>
    <w:rsid w:val="005F2B56"/>
    <w:rsid w:val="005F34A1"/>
    <w:rsid w:val="00612CE6"/>
    <w:rsid w:val="00626ABF"/>
    <w:rsid w:val="006646BC"/>
    <w:rsid w:val="00672203"/>
    <w:rsid w:val="006968E4"/>
    <w:rsid w:val="006A00DB"/>
    <w:rsid w:val="006B0CEA"/>
    <w:rsid w:val="006B2C24"/>
    <w:rsid w:val="006B7D85"/>
    <w:rsid w:val="006C141A"/>
    <w:rsid w:val="006C2A42"/>
    <w:rsid w:val="006C5922"/>
    <w:rsid w:val="006D1F81"/>
    <w:rsid w:val="006E7FCD"/>
    <w:rsid w:val="00720D81"/>
    <w:rsid w:val="00723ACC"/>
    <w:rsid w:val="007326C9"/>
    <w:rsid w:val="007354E3"/>
    <w:rsid w:val="007519A3"/>
    <w:rsid w:val="00766073"/>
    <w:rsid w:val="00782ED5"/>
    <w:rsid w:val="007849CD"/>
    <w:rsid w:val="00785979"/>
    <w:rsid w:val="007B3A98"/>
    <w:rsid w:val="007B435F"/>
    <w:rsid w:val="007B4695"/>
    <w:rsid w:val="007C30D7"/>
    <w:rsid w:val="007C3BDA"/>
    <w:rsid w:val="007E0878"/>
    <w:rsid w:val="007F1415"/>
    <w:rsid w:val="00812504"/>
    <w:rsid w:val="0081526D"/>
    <w:rsid w:val="00841742"/>
    <w:rsid w:val="00843CA9"/>
    <w:rsid w:val="008761AF"/>
    <w:rsid w:val="00883C08"/>
    <w:rsid w:val="008977D2"/>
    <w:rsid w:val="008A5CAA"/>
    <w:rsid w:val="008B59E1"/>
    <w:rsid w:val="008C293B"/>
    <w:rsid w:val="008F1E5D"/>
    <w:rsid w:val="00905AE1"/>
    <w:rsid w:val="009438AC"/>
    <w:rsid w:val="009457B7"/>
    <w:rsid w:val="009800C3"/>
    <w:rsid w:val="0099576F"/>
    <w:rsid w:val="009B691D"/>
    <w:rsid w:val="009D07BE"/>
    <w:rsid w:val="009E1FC6"/>
    <w:rsid w:val="009E7983"/>
    <w:rsid w:val="00A04A89"/>
    <w:rsid w:val="00A447DC"/>
    <w:rsid w:val="00A452F6"/>
    <w:rsid w:val="00A46DBB"/>
    <w:rsid w:val="00A55E18"/>
    <w:rsid w:val="00A6268F"/>
    <w:rsid w:val="00A644A5"/>
    <w:rsid w:val="00A86E6C"/>
    <w:rsid w:val="00A92FD2"/>
    <w:rsid w:val="00AB1CF9"/>
    <w:rsid w:val="00AC1E41"/>
    <w:rsid w:val="00AD001C"/>
    <w:rsid w:val="00B02BD2"/>
    <w:rsid w:val="00B070D2"/>
    <w:rsid w:val="00B1114B"/>
    <w:rsid w:val="00B17BC5"/>
    <w:rsid w:val="00B32901"/>
    <w:rsid w:val="00B6732A"/>
    <w:rsid w:val="00B757DE"/>
    <w:rsid w:val="00B75973"/>
    <w:rsid w:val="00BD74C1"/>
    <w:rsid w:val="00C06E17"/>
    <w:rsid w:val="00C23019"/>
    <w:rsid w:val="00C26E9A"/>
    <w:rsid w:val="00C36C12"/>
    <w:rsid w:val="00C523F6"/>
    <w:rsid w:val="00CA3F08"/>
    <w:rsid w:val="00CA6FB2"/>
    <w:rsid w:val="00CB053D"/>
    <w:rsid w:val="00CB4147"/>
    <w:rsid w:val="00CC1DAD"/>
    <w:rsid w:val="00CE3FD7"/>
    <w:rsid w:val="00CF010B"/>
    <w:rsid w:val="00CF3B65"/>
    <w:rsid w:val="00CF59CB"/>
    <w:rsid w:val="00D213D4"/>
    <w:rsid w:val="00D30E50"/>
    <w:rsid w:val="00D37C8F"/>
    <w:rsid w:val="00D45EF2"/>
    <w:rsid w:val="00D70409"/>
    <w:rsid w:val="00D71367"/>
    <w:rsid w:val="00D97188"/>
    <w:rsid w:val="00DB4E68"/>
    <w:rsid w:val="00DB6B3C"/>
    <w:rsid w:val="00DC42A7"/>
    <w:rsid w:val="00DD59BA"/>
    <w:rsid w:val="00E01201"/>
    <w:rsid w:val="00E146AB"/>
    <w:rsid w:val="00E20005"/>
    <w:rsid w:val="00E22AA4"/>
    <w:rsid w:val="00E23B00"/>
    <w:rsid w:val="00E24ED1"/>
    <w:rsid w:val="00E428DC"/>
    <w:rsid w:val="00E6589E"/>
    <w:rsid w:val="00E66B46"/>
    <w:rsid w:val="00E87DAA"/>
    <w:rsid w:val="00EA55FA"/>
    <w:rsid w:val="00EB5ADB"/>
    <w:rsid w:val="00EE5BAC"/>
    <w:rsid w:val="00EF021B"/>
    <w:rsid w:val="00F17B4A"/>
    <w:rsid w:val="00F34B88"/>
    <w:rsid w:val="00F51455"/>
    <w:rsid w:val="00F554E8"/>
    <w:rsid w:val="00F61854"/>
    <w:rsid w:val="00F703A7"/>
    <w:rsid w:val="00F727CD"/>
    <w:rsid w:val="00F83946"/>
    <w:rsid w:val="00F931E2"/>
    <w:rsid w:val="00FA2BF1"/>
    <w:rsid w:val="00FA30B9"/>
    <w:rsid w:val="00FB2B2A"/>
    <w:rsid w:val="00FF48B4"/>
    <w:rsid w:val="010D41CE"/>
    <w:rsid w:val="013A7121"/>
    <w:rsid w:val="01485312"/>
    <w:rsid w:val="014D14AF"/>
    <w:rsid w:val="016245C6"/>
    <w:rsid w:val="01AC1EA5"/>
    <w:rsid w:val="01C002BA"/>
    <w:rsid w:val="01C42B8B"/>
    <w:rsid w:val="01CD0C78"/>
    <w:rsid w:val="01E358AA"/>
    <w:rsid w:val="01EC2126"/>
    <w:rsid w:val="01FD687F"/>
    <w:rsid w:val="0204614F"/>
    <w:rsid w:val="0246410E"/>
    <w:rsid w:val="02527CFC"/>
    <w:rsid w:val="02540EEE"/>
    <w:rsid w:val="02604429"/>
    <w:rsid w:val="028C684D"/>
    <w:rsid w:val="0296144D"/>
    <w:rsid w:val="02A93360"/>
    <w:rsid w:val="02C2484D"/>
    <w:rsid w:val="02D012C6"/>
    <w:rsid w:val="02E04CA1"/>
    <w:rsid w:val="02E74E85"/>
    <w:rsid w:val="02ED5DB2"/>
    <w:rsid w:val="02FE0B92"/>
    <w:rsid w:val="030D7E11"/>
    <w:rsid w:val="031431C6"/>
    <w:rsid w:val="031D6EFB"/>
    <w:rsid w:val="03261EFA"/>
    <w:rsid w:val="032A1FDF"/>
    <w:rsid w:val="03316164"/>
    <w:rsid w:val="03386C15"/>
    <w:rsid w:val="033E34E3"/>
    <w:rsid w:val="034F361F"/>
    <w:rsid w:val="03507B31"/>
    <w:rsid w:val="03507B33"/>
    <w:rsid w:val="035B53F4"/>
    <w:rsid w:val="0361587A"/>
    <w:rsid w:val="03691812"/>
    <w:rsid w:val="036B0058"/>
    <w:rsid w:val="03780D5B"/>
    <w:rsid w:val="038E51E9"/>
    <w:rsid w:val="039E3AAA"/>
    <w:rsid w:val="03BB68A5"/>
    <w:rsid w:val="03C305A9"/>
    <w:rsid w:val="03D01DCE"/>
    <w:rsid w:val="03EA0C12"/>
    <w:rsid w:val="03F07D68"/>
    <w:rsid w:val="03F15D19"/>
    <w:rsid w:val="03F30DDF"/>
    <w:rsid w:val="04006C6A"/>
    <w:rsid w:val="040B30E0"/>
    <w:rsid w:val="04226654"/>
    <w:rsid w:val="042C2C6A"/>
    <w:rsid w:val="0433543E"/>
    <w:rsid w:val="04367D88"/>
    <w:rsid w:val="04593819"/>
    <w:rsid w:val="04607B94"/>
    <w:rsid w:val="047322C6"/>
    <w:rsid w:val="047547C2"/>
    <w:rsid w:val="047F3CB9"/>
    <w:rsid w:val="04947045"/>
    <w:rsid w:val="04960961"/>
    <w:rsid w:val="04980DF3"/>
    <w:rsid w:val="049D0916"/>
    <w:rsid w:val="04B77C54"/>
    <w:rsid w:val="04E32416"/>
    <w:rsid w:val="04EE2BFE"/>
    <w:rsid w:val="04F16BD0"/>
    <w:rsid w:val="05284CBD"/>
    <w:rsid w:val="052B31A4"/>
    <w:rsid w:val="053605DC"/>
    <w:rsid w:val="05405743"/>
    <w:rsid w:val="05425527"/>
    <w:rsid w:val="05441B35"/>
    <w:rsid w:val="057B57A5"/>
    <w:rsid w:val="058F75D3"/>
    <w:rsid w:val="05953641"/>
    <w:rsid w:val="05B36B55"/>
    <w:rsid w:val="05EA1D84"/>
    <w:rsid w:val="05EC50EA"/>
    <w:rsid w:val="05ED6429"/>
    <w:rsid w:val="05F37D05"/>
    <w:rsid w:val="05FC47C0"/>
    <w:rsid w:val="05FD6F73"/>
    <w:rsid w:val="06020529"/>
    <w:rsid w:val="06154943"/>
    <w:rsid w:val="06217DC1"/>
    <w:rsid w:val="0627450E"/>
    <w:rsid w:val="062B7030"/>
    <w:rsid w:val="06400472"/>
    <w:rsid w:val="064812AA"/>
    <w:rsid w:val="06537047"/>
    <w:rsid w:val="066A4E93"/>
    <w:rsid w:val="066C0554"/>
    <w:rsid w:val="06864F2B"/>
    <w:rsid w:val="068735DA"/>
    <w:rsid w:val="06AD58CC"/>
    <w:rsid w:val="06AF0B18"/>
    <w:rsid w:val="06B249D0"/>
    <w:rsid w:val="06BF327E"/>
    <w:rsid w:val="06CE7DDB"/>
    <w:rsid w:val="06D13FC6"/>
    <w:rsid w:val="06E414C5"/>
    <w:rsid w:val="06EC3671"/>
    <w:rsid w:val="06ED2E0B"/>
    <w:rsid w:val="06F876B9"/>
    <w:rsid w:val="071B4605"/>
    <w:rsid w:val="071D17A4"/>
    <w:rsid w:val="0721337D"/>
    <w:rsid w:val="07310516"/>
    <w:rsid w:val="073664B3"/>
    <w:rsid w:val="073C213D"/>
    <w:rsid w:val="073C78D2"/>
    <w:rsid w:val="074379D2"/>
    <w:rsid w:val="07491701"/>
    <w:rsid w:val="0751785C"/>
    <w:rsid w:val="0754167E"/>
    <w:rsid w:val="07740D43"/>
    <w:rsid w:val="077D03FE"/>
    <w:rsid w:val="0787119F"/>
    <w:rsid w:val="078D7277"/>
    <w:rsid w:val="07A807FE"/>
    <w:rsid w:val="07A9452E"/>
    <w:rsid w:val="07D16089"/>
    <w:rsid w:val="07E55CC3"/>
    <w:rsid w:val="07EC2A2D"/>
    <w:rsid w:val="080F4AC3"/>
    <w:rsid w:val="0813697E"/>
    <w:rsid w:val="0817470B"/>
    <w:rsid w:val="083657C7"/>
    <w:rsid w:val="08374015"/>
    <w:rsid w:val="08394757"/>
    <w:rsid w:val="0849084E"/>
    <w:rsid w:val="08502663"/>
    <w:rsid w:val="08681157"/>
    <w:rsid w:val="087A2972"/>
    <w:rsid w:val="087B1726"/>
    <w:rsid w:val="087C25A8"/>
    <w:rsid w:val="08850D5A"/>
    <w:rsid w:val="08AD6635"/>
    <w:rsid w:val="08C06BB0"/>
    <w:rsid w:val="08D95E3F"/>
    <w:rsid w:val="08FD3500"/>
    <w:rsid w:val="091F39CD"/>
    <w:rsid w:val="093A6A53"/>
    <w:rsid w:val="0948034B"/>
    <w:rsid w:val="09500561"/>
    <w:rsid w:val="09556FD2"/>
    <w:rsid w:val="09983688"/>
    <w:rsid w:val="09A243A4"/>
    <w:rsid w:val="09A4111E"/>
    <w:rsid w:val="09AF4121"/>
    <w:rsid w:val="09BE7CE3"/>
    <w:rsid w:val="09D5268A"/>
    <w:rsid w:val="09ED3A70"/>
    <w:rsid w:val="0A012880"/>
    <w:rsid w:val="0A17456D"/>
    <w:rsid w:val="0A2D774C"/>
    <w:rsid w:val="0A3B06CD"/>
    <w:rsid w:val="0A421352"/>
    <w:rsid w:val="0A4F2DA8"/>
    <w:rsid w:val="0A501CE3"/>
    <w:rsid w:val="0A590F49"/>
    <w:rsid w:val="0A6A66C0"/>
    <w:rsid w:val="0A927183"/>
    <w:rsid w:val="0A9F17D5"/>
    <w:rsid w:val="0AA27A91"/>
    <w:rsid w:val="0AB30A3B"/>
    <w:rsid w:val="0ABE7A01"/>
    <w:rsid w:val="0ACA1E3F"/>
    <w:rsid w:val="0AD45385"/>
    <w:rsid w:val="0AEF731E"/>
    <w:rsid w:val="0AF944A2"/>
    <w:rsid w:val="0AFC15E8"/>
    <w:rsid w:val="0B0E3367"/>
    <w:rsid w:val="0B1763DD"/>
    <w:rsid w:val="0B276DF8"/>
    <w:rsid w:val="0B2D689C"/>
    <w:rsid w:val="0B3A47B5"/>
    <w:rsid w:val="0B483084"/>
    <w:rsid w:val="0B5E0E26"/>
    <w:rsid w:val="0B6B48C7"/>
    <w:rsid w:val="0B752D66"/>
    <w:rsid w:val="0B890D25"/>
    <w:rsid w:val="0B925AA8"/>
    <w:rsid w:val="0B9C2F55"/>
    <w:rsid w:val="0B9D5890"/>
    <w:rsid w:val="0BBA25AF"/>
    <w:rsid w:val="0BC47FB9"/>
    <w:rsid w:val="0BC62387"/>
    <w:rsid w:val="0BC90B9F"/>
    <w:rsid w:val="0BC91A5C"/>
    <w:rsid w:val="0BD646C9"/>
    <w:rsid w:val="0BE5207C"/>
    <w:rsid w:val="0BED33C8"/>
    <w:rsid w:val="0BFB5D1F"/>
    <w:rsid w:val="0C0D7AE6"/>
    <w:rsid w:val="0C2D3EE1"/>
    <w:rsid w:val="0C2F6F8A"/>
    <w:rsid w:val="0C3009E4"/>
    <w:rsid w:val="0C3C487F"/>
    <w:rsid w:val="0C3C5BFC"/>
    <w:rsid w:val="0C4667C1"/>
    <w:rsid w:val="0C477EB9"/>
    <w:rsid w:val="0C4B22AD"/>
    <w:rsid w:val="0C647CAE"/>
    <w:rsid w:val="0C880539"/>
    <w:rsid w:val="0C8A3545"/>
    <w:rsid w:val="0C9E633D"/>
    <w:rsid w:val="0CBE6D37"/>
    <w:rsid w:val="0CC40B76"/>
    <w:rsid w:val="0CD72A6E"/>
    <w:rsid w:val="0CD81285"/>
    <w:rsid w:val="0CED2BFD"/>
    <w:rsid w:val="0CEE01B1"/>
    <w:rsid w:val="0CF141EC"/>
    <w:rsid w:val="0CF404CE"/>
    <w:rsid w:val="0D036D58"/>
    <w:rsid w:val="0D2801B5"/>
    <w:rsid w:val="0D2A1D10"/>
    <w:rsid w:val="0D2D5975"/>
    <w:rsid w:val="0D305284"/>
    <w:rsid w:val="0D3E6807"/>
    <w:rsid w:val="0D4A1048"/>
    <w:rsid w:val="0D4D0577"/>
    <w:rsid w:val="0D9355B3"/>
    <w:rsid w:val="0D9F625A"/>
    <w:rsid w:val="0DA14230"/>
    <w:rsid w:val="0DAB254D"/>
    <w:rsid w:val="0DAC069D"/>
    <w:rsid w:val="0DB64807"/>
    <w:rsid w:val="0DC82A40"/>
    <w:rsid w:val="0DC92377"/>
    <w:rsid w:val="0DCB704F"/>
    <w:rsid w:val="0DD70537"/>
    <w:rsid w:val="0DDB3DAE"/>
    <w:rsid w:val="0DE72EBA"/>
    <w:rsid w:val="0DE73DDA"/>
    <w:rsid w:val="0DFB400A"/>
    <w:rsid w:val="0E154D8B"/>
    <w:rsid w:val="0E272FCB"/>
    <w:rsid w:val="0E303356"/>
    <w:rsid w:val="0E4D2A58"/>
    <w:rsid w:val="0E6514C5"/>
    <w:rsid w:val="0E7F6A60"/>
    <w:rsid w:val="0E836550"/>
    <w:rsid w:val="0E8D2252"/>
    <w:rsid w:val="0E943DB7"/>
    <w:rsid w:val="0EA5256F"/>
    <w:rsid w:val="0EB02294"/>
    <w:rsid w:val="0EC32B2B"/>
    <w:rsid w:val="0EC51CAB"/>
    <w:rsid w:val="0ECC38C7"/>
    <w:rsid w:val="0ECF26F9"/>
    <w:rsid w:val="0EE81976"/>
    <w:rsid w:val="0EE95F2E"/>
    <w:rsid w:val="0EF21163"/>
    <w:rsid w:val="0EFC6D70"/>
    <w:rsid w:val="0F043BA8"/>
    <w:rsid w:val="0F184516"/>
    <w:rsid w:val="0F1D77B5"/>
    <w:rsid w:val="0F24379E"/>
    <w:rsid w:val="0F347F77"/>
    <w:rsid w:val="0F386966"/>
    <w:rsid w:val="0F565D6B"/>
    <w:rsid w:val="0F7553C7"/>
    <w:rsid w:val="0F79387B"/>
    <w:rsid w:val="0F7C47FE"/>
    <w:rsid w:val="0F813FFF"/>
    <w:rsid w:val="0F8D1735"/>
    <w:rsid w:val="0F924F9F"/>
    <w:rsid w:val="0FA54B70"/>
    <w:rsid w:val="0FA60CC4"/>
    <w:rsid w:val="0FC84E62"/>
    <w:rsid w:val="0FCC6553"/>
    <w:rsid w:val="0FCD5301"/>
    <w:rsid w:val="0FE57B58"/>
    <w:rsid w:val="0FE66815"/>
    <w:rsid w:val="0FF56F88"/>
    <w:rsid w:val="10143842"/>
    <w:rsid w:val="102D20CA"/>
    <w:rsid w:val="104C7395"/>
    <w:rsid w:val="106847CE"/>
    <w:rsid w:val="106A5E7A"/>
    <w:rsid w:val="10745086"/>
    <w:rsid w:val="10933E6C"/>
    <w:rsid w:val="10A03984"/>
    <w:rsid w:val="10AD1B86"/>
    <w:rsid w:val="10C05AB4"/>
    <w:rsid w:val="10C12A2A"/>
    <w:rsid w:val="10E72A4B"/>
    <w:rsid w:val="11001029"/>
    <w:rsid w:val="11090094"/>
    <w:rsid w:val="1109120C"/>
    <w:rsid w:val="112968F0"/>
    <w:rsid w:val="11363089"/>
    <w:rsid w:val="11424BAB"/>
    <w:rsid w:val="115D1775"/>
    <w:rsid w:val="115E1743"/>
    <w:rsid w:val="116F5FA8"/>
    <w:rsid w:val="11817121"/>
    <w:rsid w:val="11832AAA"/>
    <w:rsid w:val="1192662F"/>
    <w:rsid w:val="11B30FD1"/>
    <w:rsid w:val="11F717C4"/>
    <w:rsid w:val="11FF5AA2"/>
    <w:rsid w:val="120D4ABC"/>
    <w:rsid w:val="120E2957"/>
    <w:rsid w:val="12272BBA"/>
    <w:rsid w:val="122A5EB9"/>
    <w:rsid w:val="123727CE"/>
    <w:rsid w:val="12393E5B"/>
    <w:rsid w:val="123E1133"/>
    <w:rsid w:val="12564E22"/>
    <w:rsid w:val="128617FB"/>
    <w:rsid w:val="12864AFC"/>
    <w:rsid w:val="1294624A"/>
    <w:rsid w:val="12A323D7"/>
    <w:rsid w:val="12B35621"/>
    <w:rsid w:val="12B90DFB"/>
    <w:rsid w:val="12D0033E"/>
    <w:rsid w:val="12D11DA7"/>
    <w:rsid w:val="12D34949"/>
    <w:rsid w:val="12E33DA1"/>
    <w:rsid w:val="12EE1986"/>
    <w:rsid w:val="13174AE5"/>
    <w:rsid w:val="131B22EE"/>
    <w:rsid w:val="134C6E33"/>
    <w:rsid w:val="136A5A65"/>
    <w:rsid w:val="13746C1B"/>
    <w:rsid w:val="13823DD8"/>
    <w:rsid w:val="138327BD"/>
    <w:rsid w:val="138D5888"/>
    <w:rsid w:val="138F0233"/>
    <w:rsid w:val="139B5073"/>
    <w:rsid w:val="13A34C6C"/>
    <w:rsid w:val="13B56BEC"/>
    <w:rsid w:val="13B81B7D"/>
    <w:rsid w:val="13CF57FA"/>
    <w:rsid w:val="13EE6D06"/>
    <w:rsid w:val="143215D1"/>
    <w:rsid w:val="143F419B"/>
    <w:rsid w:val="14436AE9"/>
    <w:rsid w:val="1461130F"/>
    <w:rsid w:val="14612014"/>
    <w:rsid w:val="146903C8"/>
    <w:rsid w:val="147E26DB"/>
    <w:rsid w:val="14B577AB"/>
    <w:rsid w:val="14BD7781"/>
    <w:rsid w:val="14C35743"/>
    <w:rsid w:val="14CE0BC1"/>
    <w:rsid w:val="14F04E28"/>
    <w:rsid w:val="14F15654"/>
    <w:rsid w:val="14FB0517"/>
    <w:rsid w:val="150400EA"/>
    <w:rsid w:val="15094E0A"/>
    <w:rsid w:val="150D7B81"/>
    <w:rsid w:val="15273EA9"/>
    <w:rsid w:val="152F6BFF"/>
    <w:rsid w:val="153257A0"/>
    <w:rsid w:val="15342D4D"/>
    <w:rsid w:val="15350ECA"/>
    <w:rsid w:val="154218D2"/>
    <w:rsid w:val="15540403"/>
    <w:rsid w:val="15810904"/>
    <w:rsid w:val="15916427"/>
    <w:rsid w:val="15A0778E"/>
    <w:rsid w:val="15A900EF"/>
    <w:rsid w:val="15B859A6"/>
    <w:rsid w:val="15CA005A"/>
    <w:rsid w:val="15E955F0"/>
    <w:rsid w:val="15F5616C"/>
    <w:rsid w:val="15FC28CC"/>
    <w:rsid w:val="160F6B25"/>
    <w:rsid w:val="16180895"/>
    <w:rsid w:val="161F6E4C"/>
    <w:rsid w:val="16255A53"/>
    <w:rsid w:val="16454C97"/>
    <w:rsid w:val="164B04C4"/>
    <w:rsid w:val="16500540"/>
    <w:rsid w:val="1650659A"/>
    <w:rsid w:val="16542B22"/>
    <w:rsid w:val="165F0197"/>
    <w:rsid w:val="166E4D37"/>
    <w:rsid w:val="16741C6A"/>
    <w:rsid w:val="16AD3779"/>
    <w:rsid w:val="16B33B0D"/>
    <w:rsid w:val="16D35E06"/>
    <w:rsid w:val="16DE6726"/>
    <w:rsid w:val="17027891"/>
    <w:rsid w:val="17083DE6"/>
    <w:rsid w:val="17142E35"/>
    <w:rsid w:val="17361F8E"/>
    <w:rsid w:val="17365849"/>
    <w:rsid w:val="1738588B"/>
    <w:rsid w:val="173A2563"/>
    <w:rsid w:val="17445F97"/>
    <w:rsid w:val="17505C3E"/>
    <w:rsid w:val="175405D6"/>
    <w:rsid w:val="17553D05"/>
    <w:rsid w:val="176A4BDB"/>
    <w:rsid w:val="17747041"/>
    <w:rsid w:val="177A4BF6"/>
    <w:rsid w:val="17934B49"/>
    <w:rsid w:val="179B7A27"/>
    <w:rsid w:val="17A329C5"/>
    <w:rsid w:val="17BC65B7"/>
    <w:rsid w:val="17BF158E"/>
    <w:rsid w:val="17D157EE"/>
    <w:rsid w:val="17D20192"/>
    <w:rsid w:val="17E5243D"/>
    <w:rsid w:val="17EB7147"/>
    <w:rsid w:val="17FF1CCB"/>
    <w:rsid w:val="180B0EAD"/>
    <w:rsid w:val="182061EA"/>
    <w:rsid w:val="18230FFF"/>
    <w:rsid w:val="18253A29"/>
    <w:rsid w:val="18353A35"/>
    <w:rsid w:val="18436B2B"/>
    <w:rsid w:val="18551E24"/>
    <w:rsid w:val="18753EC8"/>
    <w:rsid w:val="187F1A23"/>
    <w:rsid w:val="18872194"/>
    <w:rsid w:val="18AD3F21"/>
    <w:rsid w:val="18B01546"/>
    <w:rsid w:val="18DF0881"/>
    <w:rsid w:val="18DF7401"/>
    <w:rsid w:val="19087E1D"/>
    <w:rsid w:val="190960B2"/>
    <w:rsid w:val="190A0394"/>
    <w:rsid w:val="191975B9"/>
    <w:rsid w:val="19433FC0"/>
    <w:rsid w:val="195E31CF"/>
    <w:rsid w:val="19624544"/>
    <w:rsid w:val="19890A99"/>
    <w:rsid w:val="19967D25"/>
    <w:rsid w:val="19AD012F"/>
    <w:rsid w:val="19AF27E3"/>
    <w:rsid w:val="19BA6899"/>
    <w:rsid w:val="19D733FA"/>
    <w:rsid w:val="19DC5099"/>
    <w:rsid w:val="19E25E4D"/>
    <w:rsid w:val="19F16D22"/>
    <w:rsid w:val="19F865D9"/>
    <w:rsid w:val="1A052817"/>
    <w:rsid w:val="1A192864"/>
    <w:rsid w:val="1A1966F1"/>
    <w:rsid w:val="1A306B67"/>
    <w:rsid w:val="1A313C9A"/>
    <w:rsid w:val="1A3B59D5"/>
    <w:rsid w:val="1A442548"/>
    <w:rsid w:val="1A5C1707"/>
    <w:rsid w:val="1A605AA1"/>
    <w:rsid w:val="1AA96F29"/>
    <w:rsid w:val="1ACD1A12"/>
    <w:rsid w:val="1ADC1129"/>
    <w:rsid w:val="1AED6CE3"/>
    <w:rsid w:val="1B0F0BA9"/>
    <w:rsid w:val="1B136768"/>
    <w:rsid w:val="1B2829BA"/>
    <w:rsid w:val="1B2933FC"/>
    <w:rsid w:val="1B2B205F"/>
    <w:rsid w:val="1B2C0912"/>
    <w:rsid w:val="1B303774"/>
    <w:rsid w:val="1B3A64E7"/>
    <w:rsid w:val="1B5153DD"/>
    <w:rsid w:val="1B872CB3"/>
    <w:rsid w:val="1B963DB1"/>
    <w:rsid w:val="1B9D731E"/>
    <w:rsid w:val="1BA80F4E"/>
    <w:rsid w:val="1BA95B7F"/>
    <w:rsid w:val="1BD05C45"/>
    <w:rsid w:val="1BED2F3C"/>
    <w:rsid w:val="1BFC0110"/>
    <w:rsid w:val="1BFE329B"/>
    <w:rsid w:val="1C043E09"/>
    <w:rsid w:val="1C234C00"/>
    <w:rsid w:val="1C263B93"/>
    <w:rsid w:val="1C3E726B"/>
    <w:rsid w:val="1C4F4330"/>
    <w:rsid w:val="1C530F07"/>
    <w:rsid w:val="1C550572"/>
    <w:rsid w:val="1C5B5D8E"/>
    <w:rsid w:val="1C8223A1"/>
    <w:rsid w:val="1C91323A"/>
    <w:rsid w:val="1C9E5844"/>
    <w:rsid w:val="1CC87DF4"/>
    <w:rsid w:val="1CD41554"/>
    <w:rsid w:val="1CD876F3"/>
    <w:rsid w:val="1CE572C5"/>
    <w:rsid w:val="1CF221F0"/>
    <w:rsid w:val="1CF51FF0"/>
    <w:rsid w:val="1CF76389"/>
    <w:rsid w:val="1D056899"/>
    <w:rsid w:val="1D23008A"/>
    <w:rsid w:val="1D266190"/>
    <w:rsid w:val="1D2E3315"/>
    <w:rsid w:val="1D346C0A"/>
    <w:rsid w:val="1D3B6FE2"/>
    <w:rsid w:val="1D3D7ED4"/>
    <w:rsid w:val="1D417B11"/>
    <w:rsid w:val="1D4213FD"/>
    <w:rsid w:val="1D623299"/>
    <w:rsid w:val="1D63137B"/>
    <w:rsid w:val="1D6928A7"/>
    <w:rsid w:val="1D864A16"/>
    <w:rsid w:val="1DA3798F"/>
    <w:rsid w:val="1DE06B47"/>
    <w:rsid w:val="1DE80BC0"/>
    <w:rsid w:val="1DEB1D29"/>
    <w:rsid w:val="1DF13495"/>
    <w:rsid w:val="1E1C7F9A"/>
    <w:rsid w:val="1E1D018C"/>
    <w:rsid w:val="1E354976"/>
    <w:rsid w:val="1E3F3250"/>
    <w:rsid w:val="1E4A5378"/>
    <w:rsid w:val="1E755FE2"/>
    <w:rsid w:val="1E8B6DAC"/>
    <w:rsid w:val="1E933849"/>
    <w:rsid w:val="1E992F51"/>
    <w:rsid w:val="1EB72065"/>
    <w:rsid w:val="1EC02F3B"/>
    <w:rsid w:val="1EC53D3A"/>
    <w:rsid w:val="1ECA5647"/>
    <w:rsid w:val="1ECB3486"/>
    <w:rsid w:val="1ED47011"/>
    <w:rsid w:val="1EDD1CFE"/>
    <w:rsid w:val="1F0275AD"/>
    <w:rsid w:val="1F0729F2"/>
    <w:rsid w:val="1F0B143A"/>
    <w:rsid w:val="1F2E4161"/>
    <w:rsid w:val="1F3C7107"/>
    <w:rsid w:val="1F3E697C"/>
    <w:rsid w:val="1F525822"/>
    <w:rsid w:val="1F5C39AF"/>
    <w:rsid w:val="1F5E3D34"/>
    <w:rsid w:val="1F600179"/>
    <w:rsid w:val="1F681331"/>
    <w:rsid w:val="1F7513DD"/>
    <w:rsid w:val="1F7F6705"/>
    <w:rsid w:val="1F846B10"/>
    <w:rsid w:val="1F8B6E5C"/>
    <w:rsid w:val="1F8E494B"/>
    <w:rsid w:val="1F9050FE"/>
    <w:rsid w:val="1FA17A37"/>
    <w:rsid w:val="1FA9005E"/>
    <w:rsid w:val="1FAB1C00"/>
    <w:rsid w:val="1FB04EF2"/>
    <w:rsid w:val="1FB6755E"/>
    <w:rsid w:val="1FB91FC8"/>
    <w:rsid w:val="1FBB0AFC"/>
    <w:rsid w:val="1FBD5C31"/>
    <w:rsid w:val="1FC86F14"/>
    <w:rsid w:val="1FEA4B48"/>
    <w:rsid w:val="1FEB4EB4"/>
    <w:rsid w:val="1FEF7162"/>
    <w:rsid w:val="20040E26"/>
    <w:rsid w:val="2019604E"/>
    <w:rsid w:val="201D239C"/>
    <w:rsid w:val="202E5DC3"/>
    <w:rsid w:val="204119C1"/>
    <w:rsid w:val="20526661"/>
    <w:rsid w:val="206A2AF0"/>
    <w:rsid w:val="20A70DB2"/>
    <w:rsid w:val="20AD0568"/>
    <w:rsid w:val="20B3409F"/>
    <w:rsid w:val="20B479B5"/>
    <w:rsid w:val="20D86CA1"/>
    <w:rsid w:val="20E67576"/>
    <w:rsid w:val="210F64C1"/>
    <w:rsid w:val="211D4AC1"/>
    <w:rsid w:val="21216562"/>
    <w:rsid w:val="2123680F"/>
    <w:rsid w:val="212B6F5E"/>
    <w:rsid w:val="212E3725"/>
    <w:rsid w:val="213A3783"/>
    <w:rsid w:val="213E3AD7"/>
    <w:rsid w:val="21414B9E"/>
    <w:rsid w:val="217553BB"/>
    <w:rsid w:val="217D5069"/>
    <w:rsid w:val="218446D6"/>
    <w:rsid w:val="218C1E4D"/>
    <w:rsid w:val="21962127"/>
    <w:rsid w:val="21986980"/>
    <w:rsid w:val="21B26918"/>
    <w:rsid w:val="21C27E00"/>
    <w:rsid w:val="21E3311E"/>
    <w:rsid w:val="21E86B02"/>
    <w:rsid w:val="21EB1616"/>
    <w:rsid w:val="21F63151"/>
    <w:rsid w:val="21FE5365"/>
    <w:rsid w:val="22110A8F"/>
    <w:rsid w:val="22117B2E"/>
    <w:rsid w:val="22120742"/>
    <w:rsid w:val="2226430B"/>
    <w:rsid w:val="222B5166"/>
    <w:rsid w:val="2231070E"/>
    <w:rsid w:val="22443B17"/>
    <w:rsid w:val="2249262C"/>
    <w:rsid w:val="224D059F"/>
    <w:rsid w:val="22575927"/>
    <w:rsid w:val="225769A2"/>
    <w:rsid w:val="225938EA"/>
    <w:rsid w:val="226055D6"/>
    <w:rsid w:val="2264094D"/>
    <w:rsid w:val="22714621"/>
    <w:rsid w:val="22750BB8"/>
    <w:rsid w:val="227E248B"/>
    <w:rsid w:val="22816475"/>
    <w:rsid w:val="228528F7"/>
    <w:rsid w:val="228667DE"/>
    <w:rsid w:val="228E23D5"/>
    <w:rsid w:val="22F44723"/>
    <w:rsid w:val="22F97D63"/>
    <w:rsid w:val="230E0DBA"/>
    <w:rsid w:val="23123F91"/>
    <w:rsid w:val="231B14FB"/>
    <w:rsid w:val="233A0234"/>
    <w:rsid w:val="233E477A"/>
    <w:rsid w:val="2346489F"/>
    <w:rsid w:val="2350031D"/>
    <w:rsid w:val="23526B17"/>
    <w:rsid w:val="235B7176"/>
    <w:rsid w:val="235E5C36"/>
    <w:rsid w:val="236839CB"/>
    <w:rsid w:val="23950EDB"/>
    <w:rsid w:val="23AC49E9"/>
    <w:rsid w:val="23B83E3B"/>
    <w:rsid w:val="23C83082"/>
    <w:rsid w:val="23E97B2F"/>
    <w:rsid w:val="23ED78C8"/>
    <w:rsid w:val="23F143AE"/>
    <w:rsid w:val="24090640"/>
    <w:rsid w:val="2415179A"/>
    <w:rsid w:val="241F1A4B"/>
    <w:rsid w:val="242C77D7"/>
    <w:rsid w:val="242E1D4D"/>
    <w:rsid w:val="243C1F3B"/>
    <w:rsid w:val="24417C14"/>
    <w:rsid w:val="24705373"/>
    <w:rsid w:val="248E156B"/>
    <w:rsid w:val="249A048E"/>
    <w:rsid w:val="24A37C6C"/>
    <w:rsid w:val="24A87036"/>
    <w:rsid w:val="24AE0E0F"/>
    <w:rsid w:val="24B11A5D"/>
    <w:rsid w:val="24B9172A"/>
    <w:rsid w:val="24CF44C1"/>
    <w:rsid w:val="24F335FD"/>
    <w:rsid w:val="24F86524"/>
    <w:rsid w:val="250D3351"/>
    <w:rsid w:val="25141FC5"/>
    <w:rsid w:val="2543734C"/>
    <w:rsid w:val="254875AB"/>
    <w:rsid w:val="254C0C27"/>
    <w:rsid w:val="2550062C"/>
    <w:rsid w:val="25911CDB"/>
    <w:rsid w:val="25AD24F5"/>
    <w:rsid w:val="25BD7572"/>
    <w:rsid w:val="25BF1BCD"/>
    <w:rsid w:val="25C92A85"/>
    <w:rsid w:val="25D95295"/>
    <w:rsid w:val="25DD6048"/>
    <w:rsid w:val="25E12225"/>
    <w:rsid w:val="25E945A3"/>
    <w:rsid w:val="25F2088E"/>
    <w:rsid w:val="261F6F02"/>
    <w:rsid w:val="26201AE0"/>
    <w:rsid w:val="262B471E"/>
    <w:rsid w:val="262F1713"/>
    <w:rsid w:val="263E06C3"/>
    <w:rsid w:val="26406207"/>
    <w:rsid w:val="26534976"/>
    <w:rsid w:val="265670E5"/>
    <w:rsid w:val="266C2A65"/>
    <w:rsid w:val="268457CB"/>
    <w:rsid w:val="26A3360B"/>
    <w:rsid w:val="26B20955"/>
    <w:rsid w:val="26B4349A"/>
    <w:rsid w:val="26B57DC2"/>
    <w:rsid w:val="26B63DBA"/>
    <w:rsid w:val="26C57170"/>
    <w:rsid w:val="26CB24EF"/>
    <w:rsid w:val="26CF4270"/>
    <w:rsid w:val="26D449E9"/>
    <w:rsid w:val="26DB2FB9"/>
    <w:rsid w:val="26EB668D"/>
    <w:rsid w:val="26F17A2D"/>
    <w:rsid w:val="2711439F"/>
    <w:rsid w:val="271568E7"/>
    <w:rsid w:val="27164186"/>
    <w:rsid w:val="27321E30"/>
    <w:rsid w:val="273B655F"/>
    <w:rsid w:val="274268E8"/>
    <w:rsid w:val="27466209"/>
    <w:rsid w:val="27561810"/>
    <w:rsid w:val="275C2488"/>
    <w:rsid w:val="276F0507"/>
    <w:rsid w:val="277C18CA"/>
    <w:rsid w:val="2784619D"/>
    <w:rsid w:val="27B529F8"/>
    <w:rsid w:val="27DE5C0F"/>
    <w:rsid w:val="27F350F2"/>
    <w:rsid w:val="280F610A"/>
    <w:rsid w:val="281217C9"/>
    <w:rsid w:val="28185990"/>
    <w:rsid w:val="281A2C55"/>
    <w:rsid w:val="282446D1"/>
    <w:rsid w:val="28370881"/>
    <w:rsid w:val="284D37C7"/>
    <w:rsid w:val="286800E4"/>
    <w:rsid w:val="2872351E"/>
    <w:rsid w:val="28780205"/>
    <w:rsid w:val="287D0DC0"/>
    <w:rsid w:val="2887245A"/>
    <w:rsid w:val="28962934"/>
    <w:rsid w:val="289F1006"/>
    <w:rsid w:val="28A23BEC"/>
    <w:rsid w:val="28B31262"/>
    <w:rsid w:val="28C17575"/>
    <w:rsid w:val="28CD15AA"/>
    <w:rsid w:val="28DA5524"/>
    <w:rsid w:val="28F17FC0"/>
    <w:rsid w:val="290C07F0"/>
    <w:rsid w:val="291D6D40"/>
    <w:rsid w:val="29271BC0"/>
    <w:rsid w:val="292A140F"/>
    <w:rsid w:val="295B4D7F"/>
    <w:rsid w:val="295D24C2"/>
    <w:rsid w:val="29646398"/>
    <w:rsid w:val="29795D18"/>
    <w:rsid w:val="297B05F1"/>
    <w:rsid w:val="297C6109"/>
    <w:rsid w:val="29821B43"/>
    <w:rsid w:val="29883ED8"/>
    <w:rsid w:val="298C094A"/>
    <w:rsid w:val="298F1421"/>
    <w:rsid w:val="29B55C62"/>
    <w:rsid w:val="29C83752"/>
    <w:rsid w:val="29D4024F"/>
    <w:rsid w:val="29D64D1A"/>
    <w:rsid w:val="29D97D82"/>
    <w:rsid w:val="29DE4C63"/>
    <w:rsid w:val="29EB702F"/>
    <w:rsid w:val="29FD2753"/>
    <w:rsid w:val="2A187F7B"/>
    <w:rsid w:val="2A1B2D44"/>
    <w:rsid w:val="2A443FBA"/>
    <w:rsid w:val="2A673275"/>
    <w:rsid w:val="2A6A16A2"/>
    <w:rsid w:val="2A845B87"/>
    <w:rsid w:val="2A9F69C9"/>
    <w:rsid w:val="2ABF6CE3"/>
    <w:rsid w:val="2AF35097"/>
    <w:rsid w:val="2AF7664E"/>
    <w:rsid w:val="2AFD012B"/>
    <w:rsid w:val="2B115FF1"/>
    <w:rsid w:val="2B1528CC"/>
    <w:rsid w:val="2B2B0C66"/>
    <w:rsid w:val="2B390751"/>
    <w:rsid w:val="2B5720D8"/>
    <w:rsid w:val="2B67423C"/>
    <w:rsid w:val="2B87609F"/>
    <w:rsid w:val="2B977815"/>
    <w:rsid w:val="2BA754D1"/>
    <w:rsid w:val="2BA84A99"/>
    <w:rsid w:val="2BAF5968"/>
    <w:rsid w:val="2BB2614D"/>
    <w:rsid w:val="2BB610CE"/>
    <w:rsid w:val="2BC92179"/>
    <w:rsid w:val="2BD416DC"/>
    <w:rsid w:val="2BDC228F"/>
    <w:rsid w:val="2BFD4427"/>
    <w:rsid w:val="2BFD5584"/>
    <w:rsid w:val="2C0130D2"/>
    <w:rsid w:val="2C02354D"/>
    <w:rsid w:val="2C0610BE"/>
    <w:rsid w:val="2C243825"/>
    <w:rsid w:val="2C277C05"/>
    <w:rsid w:val="2C36235F"/>
    <w:rsid w:val="2C3F0F84"/>
    <w:rsid w:val="2C5471AE"/>
    <w:rsid w:val="2C576E4C"/>
    <w:rsid w:val="2C6E2786"/>
    <w:rsid w:val="2C8114F5"/>
    <w:rsid w:val="2C8B22CA"/>
    <w:rsid w:val="2C936315"/>
    <w:rsid w:val="2C9C1067"/>
    <w:rsid w:val="2CAA0C36"/>
    <w:rsid w:val="2CAE4AAF"/>
    <w:rsid w:val="2CAF0721"/>
    <w:rsid w:val="2CB30E8D"/>
    <w:rsid w:val="2CC56D7F"/>
    <w:rsid w:val="2CCA133F"/>
    <w:rsid w:val="2CD41EA4"/>
    <w:rsid w:val="2CF42AEA"/>
    <w:rsid w:val="2D0611E7"/>
    <w:rsid w:val="2D0A2085"/>
    <w:rsid w:val="2D282E82"/>
    <w:rsid w:val="2D4A2AD2"/>
    <w:rsid w:val="2D507D4C"/>
    <w:rsid w:val="2D5C0520"/>
    <w:rsid w:val="2D7C6007"/>
    <w:rsid w:val="2DB0610E"/>
    <w:rsid w:val="2DB47BE1"/>
    <w:rsid w:val="2DBF69CC"/>
    <w:rsid w:val="2DD9224B"/>
    <w:rsid w:val="2E00588C"/>
    <w:rsid w:val="2E0F7933"/>
    <w:rsid w:val="2E344FE2"/>
    <w:rsid w:val="2E4665C7"/>
    <w:rsid w:val="2E4829E0"/>
    <w:rsid w:val="2E5E3457"/>
    <w:rsid w:val="2E686117"/>
    <w:rsid w:val="2E733D0A"/>
    <w:rsid w:val="2E8811CA"/>
    <w:rsid w:val="2E893020"/>
    <w:rsid w:val="2E8A144E"/>
    <w:rsid w:val="2EA71496"/>
    <w:rsid w:val="2EB07FFF"/>
    <w:rsid w:val="2EB517D3"/>
    <w:rsid w:val="2EBE48F1"/>
    <w:rsid w:val="2ECC64B7"/>
    <w:rsid w:val="2ED13A01"/>
    <w:rsid w:val="2ED408C1"/>
    <w:rsid w:val="2EE40D73"/>
    <w:rsid w:val="2EED7396"/>
    <w:rsid w:val="2F1E66DC"/>
    <w:rsid w:val="2F260D6F"/>
    <w:rsid w:val="2F3F12B8"/>
    <w:rsid w:val="2F4119A6"/>
    <w:rsid w:val="2F415283"/>
    <w:rsid w:val="2F4B6F3B"/>
    <w:rsid w:val="2F514241"/>
    <w:rsid w:val="2F5F32DD"/>
    <w:rsid w:val="2F6D6B30"/>
    <w:rsid w:val="2F7D7CDD"/>
    <w:rsid w:val="2F8726E8"/>
    <w:rsid w:val="2F9362D0"/>
    <w:rsid w:val="2F966E17"/>
    <w:rsid w:val="2FA47B51"/>
    <w:rsid w:val="2FB85582"/>
    <w:rsid w:val="2FBB6F38"/>
    <w:rsid w:val="2FC44987"/>
    <w:rsid w:val="2FC75799"/>
    <w:rsid w:val="2FEB6039"/>
    <w:rsid w:val="2FEF247B"/>
    <w:rsid w:val="300B598D"/>
    <w:rsid w:val="30131B3C"/>
    <w:rsid w:val="301B3D56"/>
    <w:rsid w:val="302B19AF"/>
    <w:rsid w:val="30452772"/>
    <w:rsid w:val="304B7573"/>
    <w:rsid w:val="30596289"/>
    <w:rsid w:val="306017B4"/>
    <w:rsid w:val="30646A24"/>
    <w:rsid w:val="3067507F"/>
    <w:rsid w:val="30701785"/>
    <w:rsid w:val="30797F12"/>
    <w:rsid w:val="307B634D"/>
    <w:rsid w:val="308F0B6F"/>
    <w:rsid w:val="309732F1"/>
    <w:rsid w:val="309C4C49"/>
    <w:rsid w:val="30A02AAD"/>
    <w:rsid w:val="30AF26AA"/>
    <w:rsid w:val="30B258A4"/>
    <w:rsid w:val="30B5348F"/>
    <w:rsid w:val="30C33690"/>
    <w:rsid w:val="30EA60E3"/>
    <w:rsid w:val="30F21029"/>
    <w:rsid w:val="30F24ADC"/>
    <w:rsid w:val="30FC3612"/>
    <w:rsid w:val="31086B31"/>
    <w:rsid w:val="31105511"/>
    <w:rsid w:val="312329FD"/>
    <w:rsid w:val="312564F4"/>
    <w:rsid w:val="31552F50"/>
    <w:rsid w:val="31602D5E"/>
    <w:rsid w:val="31622BA7"/>
    <w:rsid w:val="316A19A0"/>
    <w:rsid w:val="318E6E1B"/>
    <w:rsid w:val="319F3DB2"/>
    <w:rsid w:val="31BC43E1"/>
    <w:rsid w:val="31DD186C"/>
    <w:rsid w:val="31F021C1"/>
    <w:rsid w:val="31F93EE9"/>
    <w:rsid w:val="31FD116B"/>
    <w:rsid w:val="320E6ABE"/>
    <w:rsid w:val="32130E41"/>
    <w:rsid w:val="322633FC"/>
    <w:rsid w:val="322C4A29"/>
    <w:rsid w:val="32391956"/>
    <w:rsid w:val="323F18CD"/>
    <w:rsid w:val="323F35E1"/>
    <w:rsid w:val="3246736A"/>
    <w:rsid w:val="325518BC"/>
    <w:rsid w:val="327B4D29"/>
    <w:rsid w:val="328A2EB6"/>
    <w:rsid w:val="3296437F"/>
    <w:rsid w:val="32A5265D"/>
    <w:rsid w:val="32AD2EEC"/>
    <w:rsid w:val="32B943AE"/>
    <w:rsid w:val="32BE089E"/>
    <w:rsid w:val="32CD2FD0"/>
    <w:rsid w:val="32D74054"/>
    <w:rsid w:val="32E603FA"/>
    <w:rsid w:val="330B19CA"/>
    <w:rsid w:val="330C3E1D"/>
    <w:rsid w:val="331116D3"/>
    <w:rsid w:val="331B73C6"/>
    <w:rsid w:val="331C047A"/>
    <w:rsid w:val="331C1F99"/>
    <w:rsid w:val="331E0551"/>
    <w:rsid w:val="33201601"/>
    <w:rsid w:val="332B3F69"/>
    <w:rsid w:val="333634E2"/>
    <w:rsid w:val="334405E1"/>
    <w:rsid w:val="334B460B"/>
    <w:rsid w:val="334D2DE4"/>
    <w:rsid w:val="335A5114"/>
    <w:rsid w:val="336B542B"/>
    <w:rsid w:val="33882CFE"/>
    <w:rsid w:val="338E7361"/>
    <w:rsid w:val="33A9234B"/>
    <w:rsid w:val="33B81B26"/>
    <w:rsid w:val="33DB17D4"/>
    <w:rsid w:val="33E67CC9"/>
    <w:rsid w:val="33EC30A6"/>
    <w:rsid w:val="33F139B8"/>
    <w:rsid w:val="341A4E67"/>
    <w:rsid w:val="342872A9"/>
    <w:rsid w:val="3429647B"/>
    <w:rsid w:val="344D5DE9"/>
    <w:rsid w:val="345358A1"/>
    <w:rsid w:val="346B25CB"/>
    <w:rsid w:val="347434FF"/>
    <w:rsid w:val="348429F4"/>
    <w:rsid w:val="34863867"/>
    <w:rsid w:val="348F1120"/>
    <w:rsid w:val="349D503E"/>
    <w:rsid w:val="349E54B7"/>
    <w:rsid w:val="34A329DC"/>
    <w:rsid w:val="34AC0A59"/>
    <w:rsid w:val="34C82CF5"/>
    <w:rsid w:val="34D60E23"/>
    <w:rsid w:val="34DA0D7B"/>
    <w:rsid w:val="3509081A"/>
    <w:rsid w:val="35293C84"/>
    <w:rsid w:val="354039C2"/>
    <w:rsid w:val="355F3FAF"/>
    <w:rsid w:val="35811ADE"/>
    <w:rsid w:val="35EF7864"/>
    <w:rsid w:val="35F12C0A"/>
    <w:rsid w:val="360D4655"/>
    <w:rsid w:val="3617164E"/>
    <w:rsid w:val="361E5E45"/>
    <w:rsid w:val="36381D7E"/>
    <w:rsid w:val="366E52DD"/>
    <w:rsid w:val="366F1308"/>
    <w:rsid w:val="36765527"/>
    <w:rsid w:val="36776FFB"/>
    <w:rsid w:val="368A5581"/>
    <w:rsid w:val="36937A68"/>
    <w:rsid w:val="36AA0DB3"/>
    <w:rsid w:val="36AF55F7"/>
    <w:rsid w:val="36CC07AD"/>
    <w:rsid w:val="36D33A33"/>
    <w:rsid w:val="36D52B69"/>
    <w:rsid w:val="36D822B0"/>
    <w:rsid w:val="36E8445F"/>
    <w:rsid w:val="36FC3BA6"/>
    <w:rsid w:val="37244418"/>
    <w:rsid w:val="37427168"/>
    <w:rsid w:val="374336E2"/>
    <w:rsid w:val="3758109A"/>
    <w:rsid w:val="379142F8"/>
    <w:rsid w:val="37D22C05"/>
    <w:rsid w:val="37D25E50"/>
    <w:rsid w:val="37D368DA"/>
    <w:rsid w:val="37DB4036"/>
    <w:rsid w:val="37E54670"/>
    <w:rsid w:val="37EA5B8F"/>
    <w:rsid w:val="37EC37B2"/>
    <w:rsid w:val="37F01BF7"/>
    <w:rsid w:val="37F41099"/>
    <w:rsid w:val="38080859"/>
    <w:rsid w:val="380F29EC"/>
    <w:rsid w:val="38196C69"/>
    <w:rsid w:val="38216E1A"/>
    <w:rsid w:val="38407482"/>
    <w:rsid w:val="386414A3"/>
    <w:rsid w:val="387E00C6"/>
    <w:rsid w:val="388924D9"/>
    <w:rsid w:val="38A175C5"/>
    <w:rsid w:val="38A63602"/>
    <w:rsid w:val="38A93982"/>
    <w:rsid w:val="38AD0EF1"/>
    <w:rsid w:val="38BF0455"/>
    <w:rsid w:val="38D523BE"/>
    <w:rsid w:val="38EA0422"/>
    <w:rsid w:val="38EC3610"/>
    <w:rsid w:val="39016CD1"/>
    <w:rsid w:val="391819DF"/>
    <w:rsid w:val="392038CA"/>
    <w:rsid w:val="393B5650"/>
    <w:rsid w:val="396424C9"/>
    <w:rsid w:val="398A74EC"/>
    <w:rsid w:val="39944843"/>
    <w:rsid w:val="39A700C1"/>
    <w:rsid w:val="39AB4BEC"/>
    <w:rsid w:val="39C3355D"/>
    <w:rsid w:val="39C6643E"/>
    <w:rsid w:val="39C66799"/>
    <w:rsid w:val="39D44D3E"/>
    <w:rsid w:val="39E26E97"/>
    <w:rsid w:val="39E74E70"/>
    <w:rsid w:val="39E877DA"/>
    <w:rsid w:val="3A141AC8"/>
    <w:rsid w:val="3A227DCA"/>
    <w:rsid w:val="3A253B5C"/>
    <w:rsid w:val="3A2942FA"/>
    <w:rsid w:val="3A2B6E1D"/>
    <w:rsid w:val="3A3B7275"/>
    <w:rsid w:val="3A3E6C77"/>
    <w:rsid w:val="3A521425"/>
    <w:rsid w:val="3A58071C"/>
    <w:rsid w:val="3A5908DE"/>
    <w:rsid w:val="3A866AB1"/>
    <w:rsid w:val="3A8905D3"/>
    <w:rsid w:val="3A8A6ECC"/>
    <w:rsid w:val="3A8E44F1"/>
    <w:rsid w:val="3ABA339E"/>
    <w:rsid w:val="3AC66C9E"/>
    <w:rsid w:val="3AE26091"/>
    <w:rsid w:val="3B075273"/>
    <w:rsid w:val="3B1C5076"/>
    <w:rsid w:val="3B2A10D2"/>
    <w:rsid w:val="3B3A7846"/>
    <w:rsid w:val="3B3C1852"/>
    <w:rsid w:val="3B450691"/>
    <w:rsid w:val="3B572DFD"/>
    <w:rsid w:val="3B6C6CF6"/>
    <w:rsid w:val="3B9061CC"/>
    <w:rsid w:val="3B9657D0"/>
    <w:rsid w:val="3B9E1D75"/>
    <w:rsid w:val="3B9F171E"/>
    <w:rsid w:val="3BA448B8"/>
    <w:rsid w:val="3BBC0A3A"/>
    <w:rsid w:val="3BBD34B4"/>
    <w:rsid w:val="3BD063D2"/>
    <w:rsid w:val="3BFF1304"/>
    <w:rsid w:val="3C037757"/>
    <w:rsid w:val="3C13697D"/>
    <w:rsid w:val="3C240530"/>
    <w:rsid w:val="3C3A6E6C"/>
    <w:rsid w:val="3C3B24E8"/>
    <w:rsid w:val="3C3E6626"/>
    <w:rsid w:val="3C45270E"/>
    <w:rsid w:val="3C6461A5"/>
    <w:rsid w:val="3C684238"/>
    <w:rsid w:val="3C6A4BCF"/>
    <w:rsid w:val="3C6D3949"/>
    <w:rsid w:val="3C737AC4"/>
    <w:rsid w:val="3C8233B0"/>
    <w:rsid w:val="3C8368C4"/>
    <w:rsid w:val="3C891B8C"/>
    <w:rsid w:val="3C9A6EBE"/>
    <w:rsid w:val="3CA1099E"/>
    <w:rsid w:val="3CA766CD"/>
    <w:rsid w:val="3CB8024A"/>
    <w:rsid w:val="3CB84F9B"/>
    <w:rsid w:val="3CB9092A"/>
    <w:rsid w:val="3CC31B62"/>
    <w:rsid w:val="3CC72D26"/>
    <w:rsid w:val="3CC97BAE"/>
    <w:rsid w:val="3CD048B3"/>
    <w:rsid w:val="3CD13BB0"/>
    <w:rsid w:val="3CD20C6B"/>
    <w:rsid w:val="3CD62F22"/>
    <w:rsid w:val="3CD77061"/>
    <w:rsid w:val="3CE24D45"/>
    <w:rsid w:val="3CE8111C"/>
    <w:rsid w:val="3CF61F26"/>
    <w:rsid w:val="3CF81544"/>
    <w:rsid w:val="3CFE0433"/>
    <w:rsid w:val="3D025E94"/>
    <w:rsid w:val="3D0728E8"/>
    <w:rsid w:val="3D0770B7"/>
    <w:rsid w:val="3D0C0967"/>
    <w:rsid w:val="3D282105"/>
    <w:rsid w:val="3D3A47A5"/>
    <w:rsid w:val="3D3D311F"/>
    <w:rsid w:val="3D571B4D"/>
    <w:rsid w:val="3D811895"/>
    <w:rsid w:val="3D8D133D"/>
    <w:rsid w:val="3D923B2F"/>
    <w:rsid w:val="3D98669F"/>
    <w:rsid w:val="3DA57F2F"/>
    <w:rsid w:val="3DB41F53"/>
    <w:rsid w:val="3DBA6210"/>
    <w:rsid w:val="3DF30953"/>
    <w:rsid w:val="3DF94F0B"/>
    <w:rsid w:val="3E221EBC"/>
    <w:rsid w:val="3E2D6587"/>
    <w:rsid w:val="3E3612F4"/>
    <w:rsid w:val="3E3875E9"/>
    <w:rsid w:val="3E926D2F"/>
    <w:rsid w:val="3EAF3CA0"/>
    <w:rsid w:val="3EB466CC"/>
    <w:rsid w:val="3EEE55AC"/>
    <w:rsid w:val="3EF05596"/>
    <w:rsid w:val="3EF20030"/>
    <w:rsid w:val="3EF41D11"/>
    <w:rsid w:val="3EFA4141"/>
    <w:rsid w:val="3F053048"/>
    <w:rsid w:val="3F083BFF"/>
    <w:rsid w:val="3F0E35D5"/>
    <w:rsid w:val="3F1912B9"/>
    <w:rsid w:val="3F287DD4"/>
    <w:rsid w:val="3F2D2584"/>
    <w:rsid w:val="3F441F75"/>
    <w:rsid w:val="3F4E3336"/>
    <w:rsid w:val="3F5020F5"/>
    <w:rsid w:val="3F7F4E92"/>
    <w:rsid w:val="3F977306"/>
    <w:rsid w:val="3FCE6E65"/>
    <w:rsid w:val="3FFF0A62"/>
    <w:rsid w:val="40160018"/>
    <w:rsid w:val="40205D68"/>
    <w:rsid w:val="40237327"/>
    <w:rsid w:val="402713FE"/>
    <w:rsid w:val="4044199F"/>
    <w:rsid w:val="40441FDA"/>
    <w:rsid w:val="404B79F8"/>
    <w:rsid w:val="406823FA"/>
    <w:rsid w:val="406C009D"/>
    <w:rsid w:val="40743B39"/>
    <w:rsid w:val="40793D2A"/>
    <w:rsid w:val="40860DBB"/>
    <w:rsid w:val="40962D58"/>
    <w:rsid w:val="40A71962"/>
    <w:rsid w:val="40B546F1"/>
    <w:rsid w:val="40CB7BC1"/>
    <w:rsid w:val="40F2256A"/>
    <w:rsid w:val="41001672"/>
    <w:rsid w:val="41056FA3"/>
    <w:rsid w:val="41082E6B"/>
    <w:rsid w:val="41083652"/>
    <w:rsid w:val="410C3B7F"/>
    <w:rsid w:val="4133281D"/>
    <w:rsid w:val="413D6EF0"/>
    <w:rsid w:val="4145195E"/>
    <w:rsid w:val="4146346B"/>
    <w:rsid w:val="41781DC9"/>
    <w:rsid w:val="418C02C8"/>
    <w:rsid w:val="41AF1186"/>
    <w:rsid w:val="41BD4146"/>
    <w:rsid w:val="41DA2822"/>
    <w:rsid w:val="420F1E41"/>
    <w:rsid w:val="421D3D57"/>
    <w:rsid w:val="422B30F9"/>
    <w:rsid w:val="422C1073"/>
    <w:rsid w:val="42422B22"/>
    <w:rsid w:val="42441DD6"/>
    <w:rsid w:val="42466AE5"/>
    <w:rsid w:val="424B514A"/>
    <w:rsid w:val="425938FB"/>
    <w:rsid w:val="425B1755"/>
    <w:rsid w:val="426A3EBD"/>
    <w:rsid w:val="42704FB0"/>
    <w:rsid w:val="427658B2"/>
    <w:rsid w:val="4290179A"/>
    <w:rsid w:val="4298212E"/>
    <w:rsid w:val="42996171"/>
    <w:rsid w:val="42BA0D4D"/>
    <w:rsid w:val="42BC028C"/>
    <w:rsid w:val="42C3696C"/>
    <w:rsid w:val="42D7143E"/>
    <w:rsid w:val="42D876FE"/>
    <w:rsid w:val="42E10342"/>
    <w:rsid w:val="430373D7"/>
    <w:rsid w:val="43072177"/>
    <w:rsid w:val="43090C23"/>
    <w:rsid w:val="43186DE2"/>
    <w:rsid w:val="433B49D2"/>
    <w:rsid w:val="43426D5E"/>
    <w:rsid w:val="434850DC"/>
    <w:rsid w:val="435A579D"/>
    <w:rsid w:val="43645BCC"/>
    <w:rsid w:val="43801EE7"/>
    <w:rsid w:val="43814CE6"/>
    <w:rsid w:val="438619D3"/>
    <w:rsid w:val="439873F8"/>
    <w:rsid w:val="439E31DB"/>
    <w:rsid w:val="43A2705F"/>
    <w:rsid w:val="43A361F7"/>
    <w:rsid w:val="43B15216"/>
    <w:rsid w:val="43CC6E51"/>
    <w:rsid w:val="43E64B0E"/>
    <w:rsid w:val="43E86E26"/>
    <w:rsid w:val="43EF33F4"/>
    <w:rsid w:val="43F07848"/>
    <w:rsid w:val="43F11518"/>
    <w:rsid w:val="440515E9"/>
    <w:rsid w:val="44090463"/>
    <w:rsid w:val="440C3EB7"/>
    <w:rsid w:val="440C7DAA"/>
    <w:rsid w:val="44130DE9"/>
    <w:rsid w:val="44184C4B"/>
    <w:rsid w:val="441C2CFB"/>
    <w:rsid w:val="44263F36"/>
    <w:rsid w:val="44347DC4"/>
    <w:rsid w:val="44466E54"/>
    <w:rsid w:val="444F79F4"/>
    <w:rsid w:val="446D506D"/>
    <w:rsid w:val="446E3E8E"/>
    <w:rsid w:val="446F01CA"/>
    <w:rsid w:val="447C3EFD"/>
    <w:rsid w:val="448A05B9"/>
    <w:rsid w:val="449234E8"/>
    <w:rsid w:val="44971441"/>
    <w:rsid w:val="449D5C51"/>
    <w:rsid w:val="449E5861"/>
    <w:rsid w:val="44B97886"/>
    <w:rsid w:val="44C70F65"/>
    <w:rsid w:val="44CB735A"/>
    <w:rsid w:val="44DC2150"/>
    <w:rsid w:val="45036AF3"/>
    <w:rsid w:val="450F7EEA"/>
    <w:rsid w:val="451C7F7E"/>
    <w:rsid w:val="453A3220"/>
    <w:rsid w:val="453C5CE4"/>
    <w:rsid w:val="453F70B6"/>
    <w:rsid w:val="4542799E"/>
    <w:rsid w:val="45480164"/>
    <w:rsid w:val="4550799C"/>
    <w:rsid w:val="45521CF6"/>
    <w:rsid w:val="4555514C"/>
    <w:rsid w:val="455A4C49"/>
    <w:rsid w:val="45600154"/>
    <w:rsid w:val="4562229C"/>
    <w:rsid w:val="456A5BF2"/>
    <w:rsid w:val="457326B1"/>
    <w:rsid w:val="457B37FE"/>
    <w:rsid w:val="458155C2"/>
    <w:rsid w:val="45A4006C"/>
    <w:rsid w:val="45A948CD"/>
    <w:rsid w:val="45AE4F45"/>
    <w:rsid w:val="45CC44A0"/>
    <w:rsid w:val="45E42B01"/>
    <w:rsid w:val="45E55DB4"/>
    <w:rsid w:val="45E615E2"/>
    <w:rsid w:val="45E94C8B"/>
    <w:rsid w:val="45F12857"/>
    <w:rsid w:val="45F44110"/>
    <w:rsid w:val="4628229B"/>
    <w:rsid w:val="46305CAE"/>
    <w:rsid w:val="46336826"/>
    <w:rsid w:val="464B5DE4"/>
    <w:rsid w:val="46537B1F"/>
    <w:rsid w:val="465F5526"/>
    <w:rsid w:val="4661621D"/>
    <w:rsid w:val="4666120E"/>
    <w:rsid w:val="46674686"/>
    <w:rsid w:val="46AD7933"/>
    <w:rsid w:val="46B46D0F"/>
    <w:rsid w:val="46D57CEB"/>
    <w:rsid w:val="46D843C0"/>
    <w:rsid w:val="46D9037D"/>
    <w:rsid w:val="47013220"/>
    <w:rsid w:val="47092E0D"/>
    <w:rsid w:val="470B11E8"/>
    <w:rsid w:val="470C6345"/>
    <w:rsid w:val="472D5EC9"/>
    <w:rsid w:val="474158E2"/>
    <w:rsid w:val="4744778B"/>
    <w:rsid w:val="475905B3"/>
    <w:rsid w:val="4760786A"/>
    <w:rsid w:val="47684065"/>
    <w:rsid w:val="47722F3C"/>
    <w:rsid w:val="477D0AF9"/>
    <w:rsid w:val="477E33D9"/>
    <w:rsid w:val="479B28C4"/>
    <w:rsid w:val="47A87590"/>
    <w:rsid w:val="47A96CB6"/>
    <w:rsid w:val="47BD4B7B"/>
    <w:rsid w:val="47DE55F6"/>
    <w:rsid w:val="47FC653A"/>
    <w:rsid w:val="480A55C7"/>
    <w:rsid w:val="480D70C5"/>
    <w:rsid w:val="48192566"/>
    <w:rsid w:val="484D3772"/>
    <w:rsid w:val="48521C74"/>
    <w:rsid w:val="48597945"/>
    <w:rsid w:val="487A7422"/>
    <w:rsid w:val="48811357"/>
    <w:rsid w:val="488264CA"/>
    <w:rsid w:val="48960F4C"/>
    <w:rsid w:val="48AA4D94"/>
    <w:rsid w:val="48BE0001"/>
    <w:rsid w:val="48C53E01"/>
    <w:rsid w:val="48DF0DC3"/>
    <w:rsid w:val="48E26170"/>
    <w:rsid w:val="48EE5188"/>
    <w:rsid w:val="48F61AFE"/>
    <w:rsid w:val="492B30E4"/>
    <w:rsid w:val="49315BE0"/>
    <w:rsid w:val="494315DF"/>
    <w:rsid w:val="496939E7"/>
    <w:rsid w:val="49772BB5"/>
    <w:rsid w:val="4977320F"/>
    <w:rsid w:val="49777AB0"/>
    <w:rsid w:val="497E5E79"/>
    <w:rsid w:val="497E69D5"/>
    <w:rsid w:val="498341C6"/>
    <w:rsid w:val="49854A62"/>
    <w:rsid w:val="498F2761"/>
    <w:rsid w:val="49904FB7"/>
    <w:rsid w:val="499332DD"/>
    <w:rsid w:val="49A0328F"/>
    <w:rsid w:val="49B04A86"/>
    <w:rsid w:val="49B36303"/>
    <w:rsid w:val="49BF30B7"/>
    <w:rsid w:val="49DB5CE9"/>
    <w:rsid w:val="49F31481"/>
    <w:rsid w:val="49FD0A38"/>
    <w:rsid w:val="4A1A1F48"/>
    <w:rsid w:val="4A234AC0"/>
    <w:rsid w:val="4A286032"/>
    <w:rsid w:val="4A39138D"/>
    <w:rsid w:val="4A437594"/>
    <w:rsid w:val="4A472B8B"/>
    <w:rsid w:val="4A562DDA"/>
    <w:rsid w:val="4A630625"/>
    <w:rsid w:val="4A677B24"/>
    <w:rsid w:val="4A68364B"/>
    <w:rsid w:val="4A7015EF"/>
    <w:rsid w:val="4A9D3535"/>
    <w:rsid w:val="4AB00019"/>
    <w:rsid w:val="4AB5343C"/>
    <w:rsid w:val="4ABD6FB8"/>
    <w:rsid w:val="4AC91974"/>
    <w:rsid w:val="4AD946BF"/>
    <w:rsid w:val="4AE20F59"/>
    <w:rsid w:val="4AE91F2A"/>
    <w:rsid w:val="4B123611"/>
    <w:rsid w:val="4B2F09F7"/>
    <w:rsid w:val="4B3422EA"/>
    <w:rsid w:val="4B466D44"/>
    <w:rsid w:val="4B48607C"/>
    <w:rsid w:val="4B4E7945"/>
    <w:rsid w:val="4B5A1630"/>
    <w:rsid w:val="4B5A27B5"/>
    <w:rsid w:val="4B6257F0"/>
    <w:rsid w:val="4B7B4A52"/>
    <w:rsid w:val="4B7C4237"/>
    <w:rsid w:val="4B842FCC"/>
    <w:rsid w:val="4B976C72"/>
    <w:rsid w:val="4BA601D9"/>
    <w:rsid w:val="4BBA7111"/>
    <w:rsid w:val="4BC043D2"/>
    <w:rsid w:val="4BC634B7"/>
    <w:rsid w:val="4BC97B9F"/>
    <w:rsid w:val="4BD608D5"/>
    <w:rsid w:val="4BDF0125"/>
    <w:rsid w:val="4BE15171"/>
    <w:rsid w:val="4C054F59"/>
    <w:rsid w:val="4C06691F"/>
    <w:rsid w:val="4C1A7BF1"/>
    <w:rsid w:val="4C2A7AA9"/>
    <w:rsid w:val="4C2C19B5"/>
    <w:rsid w:val="4C43605F"/>
    <w:rsid w:val="4C441DE4"/>
    <w:rsid w:val="4C524E28"/>
    <w:rsid w:val="4C5B7DD5"/>
    <w:rsid w:val="4C5D452A"/>
    <w:rsid w:val="4C6750AA"/>
    <w:rsid w:val="4C775F12"/>
    <w:rsid w:val="4C845743"/>
    <w:rsid w:val="4C875660"/>
    <w:rsid w:val="4C8E6F5C"/>
    <w:rsid w:val="4C9A3445"/>
    <w:rsid w:val="4C9D3741"/>
    <w:rsid w:val="4CA67B9A"/>
    <w:rsid w:val="4CAB21E0"/>
    <w:rsid w:val="4CB32459"/>
    <w:rsid w:val="4CB76DAD"/>
    <w:rsid w:val="4CCB272A"/>
    <w:rsid w:val="4CCC1791"/>
    <w:rsid w:val="4CDC6558"/>
    <w:rsid w:val="4D3567AF"/>
    <w:rsid w:val="4D6769AD"/>
    <w:rsid w:val="4D770BED"/>
    <w:rsid w:val="4D7A3363"/>
    <w:rsid w:val="4D90188F"/>
    <w:rsid w:val="4DA348A5"/>
    <w:rsid w:val="4DB83906"/>
    <w:rsid w:val="4DC30425"/>
    <w:rsid w:val="4E0062C6"/>
    <w:rsid w:val="4E0458D0"/>
    <w:rsid w:val="4E1141CF"/>
    <w:rsid w:val="4E1144BA"/>
    <w:rsid w:val="4E121823"/>
    <w:rsid w:val="4E327F05"/>
    <w:rsid w:val="4E447B33"/>
    <w:rsid w:val="4E532FA1"/>
    <w:rsid w:val="4E7C5031"/>
    <w:rsid w:val="4E7C7C77"/>
    <w:rsid w:val="4EA26DF6"/>
    <w:rsid w:val="4EA50C1B"/>
    <w:rsid w:val="4EAD0DD1"/>
    <w:rsid w:val="4EC8604E"/>
    <w:rsid w:val="4ED54649"/>
    <w:rsid w:val="4ED650C6"/>
    <w:rsid w:val="4EDF5A45"/>
    <w:rsid w:val="4EFA2285"/>
    <w:rsid w:val="4F2E6C22"/>
    <w:rsid w:val="4F352142"/>
    <w:rsid w:val="4F5148FF"/>
    <w:rsid w:val="4F5E248A"/>
    <w:rsid w:val="4F6979A8"/>
    <w:rsid w:val="4F75224B"/>
    <w:rsid w:val="4F7D207C"/>
    <w:rsid w:val="4F7F1D31"/>
    <w:rsid w:val="4F8232FB"/>
    <w:rsid w:val="4F8B57B6"/>
    <w:rsid w:val="4F8E3CA0"/>
    <w:rsid w:val="4FB90350"/>
    <w:rsid w:val="4FCE01A8"/>
    <w:rsid w:val="4FEC69DB"/>
    <w:rsid w:val="500209C0"/>
    <w:rsid w:val="500B1E2D"/>
    <w:rsid w:val="501A2258"/>
    <w:rsid w:val="501C2995"/>
    <w:rsid w:val="502230D1"/>
    <w:rsid w:val="50323BF9"/>
    <w:rsid w:val="50353936"/>
    <w:rsid w:val="503C01B2"/>
    <w:rsid w:val="50585838"/>
    <w:rsid w:val="50585911"/>
    <w:rsid w:val="505F0A01"/>
    <w:rsid w:val="507B4A65"/>
    <w:rsid w:val="507F1C53"/>
    <w:rsid w:val="50835755"/>
    <w:rsid w:val="50861851"/>
    <w:rsid w:val="50925FB6"/>
    <w:rsid w:val="50957ACC"/>
    <w:rsid w:val="5097119D"/>
    <w:rsid w:val="509D6BBA"/>
    <w:rsid w:val="50B87202"/>
    <w:rsid w:val="50CE1DB7"/>
    <w:rsid w:val="510A3708"/>
    <w:rsid w:val="510F4E69"/>
    <w:rsid w:val="515B6BCB"/>
    <w:rsid w:val="515C7814"/>
    <w:rsid w:val="51626EEE"/>
    <w:rsid w:val="51691848"/>
    <w:rsid w:val="517A124B"/>
    <w:rsid w:val="518979D2"/>
    <w:rsid w:val="5192515E"/>
    <w:rsid w:val="5193225C"/>
    <w:rsid w:val="51981281"/>
    <w:rsid w:val="51AB73DD"/>
    <w:rsid w:val="51AD79C8"/>
    <w:rsid w:val="51B15246"/>
    <w:rsid w:val="51BE72B9"/>
    <w:rsid w:val="51C1717F"/>
    <w:rsid w:val="51D3602A"/>
    <w:rsid w:val="52024729"/>
    <w:rsid w:val="52086626"/>
    <w:rsid w:val="520D4AB7"/>
    <w:rsid w:val="52194153"/>
    <w:rsid w:val="521959B3"/>
    <w:rsid w:val="525D29B5"/>
    <w:rsid w:val="526667CE"/>
    <w:rsid w:val="52792D83"/>
    <w:rsid w:val="52856F4C"/>
    <w:rsid w:val="528F2F2B"/>
    <w:rsid w:val="52946CE7"/>
    <w:rsid w:val="52D61EB0"/>
    <w:rsid w:val="52EE758E"/>
    <w:rsid w:val="52F07392"/>
    <w:rsid w:val="52F61A46"/>
    <w:rsid w:val="52F824E7"/>
    <w:rsid w:val="530C3738"/>
    <w:rsid w:val="53153EA2"/>
    <w:rsid w:val="531D5DCB"/>
    <w:rsid w:val="531E7565"/>
    <w:rsid w:val="53213A30"/>
    <w:rsid w:val="53220575"/>
    <w:rsid w:val="532249F2"/>
    <w:rsid w:val="532253E9"/>
    <w:rsid w:val="53407165"/>
    <w:rsid w:val="534A3950"/>
    <w:rsid w:val="534A6517"/>
    <w:rsid w:val="539845D9"/>
    <w:rsid w:val="539A2666"/>
    <w:rsid w:val="53B32598"/>
    <w:rsid w:val="53B4630E"/>
    <w:rsid w:val="53C84419"/>
    <w:rsid w:val="53D527B9"/>
    <w:rsid w:val="53DB6A2A"/>
    <w:rsid w:val="53E84AD1"/>
    <w:rsid w:val="53FA1F31"/>
    <w:rsid w:val="53FA5916"/>
    <w:rsid w:val="540E153D"/>
    <w:rsid w:val="541C18C2"/>
    <w:rsid w:val="542A53F9"/>
    <w:rsid w:val="542C7DF0"/>
    <w:rsid w:val="54457A6B"/>
    <w:rsid w:val="54474E79"/>
    <w:rsid w:val="5455231E"/>
    <w:rsid w:val="54557ADA"/>
    <w:rsid w:val="54666AD6"/>
    <w:rsid w:val="54843121"/>
    <w:rsid w:val="54852D1F"/>
    <w:rsid w:val="54B62821"/>
    <w:rsid w:val="54C63AA1"/>
    <w:rsid w:val="54E72937"/>
    <w:rsid w:val="54F04F6E"/>
    <w:rsid w:val="54F22F39"/>
    <w:rsid w:val="55097140"/>
    <w:rsid w:val="550B6EE9"/>
    <w:rsid w:val="550E6B53"/>
    <w:rsid w:val="55292A69"/>
    <w:rsid w:val="5559599A"/>
    <w:rsid w:val="55692AFA"/>
    <w:rsid w:val="557541C3"/>
    <w:rsid w:val="55922446"/>
    <w:rsid w:val="55964174"/>
    <w:rsid w:val="559C5D3F"/>
    <w:rsid w:val="55BA61D0"/>
    <w:rsid w:val="55D37B09"/>
    <w:rsid w:val="55D45F68"/>
    <w:rsid w:val="55D54C12"/>
    <w:rsid w:val="55DC777A"/>
    <w:rsid w:val="55DD513F"/>
    <w:rsid w:val="55E75326"/>
    <w:rsid w:val="55EF02EB"/>
    <w:rsid w:val="55FA6143"/>
    <w:rsid w:val="55FB2108"/>
    <w:rsid w:val="561E722B"/>
    <w:rsid w:val="56221030"/>
    <w:rsid w:val="56480AB4"/>
    <w:rsid w:val="566E16F8"/>
    <w:rsid w:val="567C66AF"/>
    <w:rsid w:val="56836A1F"/>
    <w:rsid w:val="56847485"/>
    <w:rsid w:val="56AB1AC8"/>
    <w:rsid w:val="56BE432B"/>
    <w:rsid w:val="56DD3839"/>
    <w:rsid w:val="56F00EA2"/>
    <w:rsid w:val="56FF3A70"/>
    <w:rsid w:val="57085C40"/>
    <w:rsid w:val="570E03C2"/>
    <w:rsid w:val="57174E55"/>
    <w:rsid w:val="57387C40"/>
    <w:rsid w:val="574D2076"/>
    <w:rsid w:val="575C6F5C"/>
    <w:rsid w:val="575F5497"/>
    <w:rsid w:val="57677A08"/>
    <w:rsid w:val="57693E9C"/>
    <w:rsid w:val="578E186B"/>
    <w:rsid w:val="578F06BB"/>
    <w:rsid w:val="57965B71"/>
    <w:rsid w:val="57980394"/>
    <w:rsid w:val="57A557E8"/>
    <w:rsid w:val="57A65694"/>
    <w:rsid w:val="57A94778"/>
    <w:rsid w:val="57C916C6"/>
    <w:rsid w:val="57D32273"/>
    <w:rsid w:val="57E664DA"/>
    <w:rsid w:val="57EB0DAE"/>
    <w:rsid w:val="580528AE"/>
    <w:rsid w:val="58127271"/>
    <w:rsid w:val="581504D2"/>
    <w:rsid w:val="58222282"/>
    <w:rsid w:val="582B72F0"/>
    <w:rsid w:val="58300DC8"/>
    <w:rsid w:val="585F1466"/>
    <w:rsid w:val="585F53CD"/>
    <w:rsid w:val="587C6300"/>
    <w:rsid w:val="589D0BB5"/>
    <w:rsid w:val="58A72444"/>
    <w:rsid w:val="58AB29D1"/>
    <w:rsid w:val="58AD0151"/>
    <w:rsid w:val="58BD0DC4"/>
    <w:rsid w:val="58C62BAA"/>
    <w:rsid w:val="58D40387"/>
    <w:rsid w:val="58E755A7"/>
    <w:rsid w:val="593F2271"/>
    <w:rsid w:val="59420707"/>
    <w:rsid w:val="595465AC"/>
    <w:rsid w:val="59731E68"/>
    <w:rsid w:val="5981777E"/>
    <w:rsid w:val="59B17847"/>
    <w:rsid w:val="59C56637"/>
    <w:rsid w:val="59C676E0"/>
    <w:rsid w:val="59C830FB"/>
    <w:rsid w:val="59CF3865"/>
    <w:rsid w:val="59D046F0"/>
    <w:rsid w:val="59DE10C2"/>
    <w:rsid w:val="59F066CA"/>
    <w:rsid w:val="59FA6BED"/>
    <w:rsid w:val="5A1A7F22"/>
    <w:rsid w:val="5A2401E5"/>
    <w:rsid w:val="5A3A37CE"/>
    <w:rsid w:val="5A4043BD"/>
    <w:rsid w:val="5A6D553C"/>
    <w:rsid w:val="5A81726E"/>
    <w:rsid w:val="5A9A6735"/>
    <w:rsid w:val="5A9C2CF6"/>
    <w:rsid w:val="5AA9126B"/>
    <w:rsid w:val="5ABB4E18"/>
    <w:rsid w:val="5AC16E42"/>
    <w:rsid w:val="5AC25556"/>
    <w:rsid w:val="5AC360EF"/>
    <w:rsid w:val="5AD13C0E"/>
    <w:rsid w:val="5AFA25CB"/>
    <w:rsid w:val="5B1C2265"/>
    <w:rsid w:val="5B386659"/>
    <w:rsid w:val="5B400894"/>
    <w:rsid w:val="5B547C51"/>
    <w:rsid w:val="5B5E60A1"/>
    <w:rsid w:val="5B7509A5"/>
    <w:rsid w:val="5B8F2FC5"/>
    <w:rsid w:val="5B9062C9"/>
    <w:rsid w:val="5BAD3C17"/>
    <w:rsid w:val="5BC368C3"/>
    <w:rsid w:val="5BE04C9B"/>
    <w:rsid w:val="5BFE0DDE"/>
    <w:rsid w:val="5C012361"/>
    <w:rsid w:val="5C102414"/>
    <w:rsid w:val="5C19011B"/>
    <w:rsid w:val="5C2543E6"/>
    <w:rsid w:val="5C353A95"/>
    <w:rsid w:val="5C381953"/>
    <w:rsid w:val="5C3C70BB"/>
    <w:rsid w:val="5C4E1D99"/>
    <w:rsid w:val="5C5840DA"/>
    <w:rsid w:val="5C5E0D86"/>
    <w:rsid w:val="5C606575"/>
    <w:rsid w:val="5C614363"/>
    <w:rsid w:val="5C720257"/>
    <w:rsid w:val="5C79275C"/>
    <w:rsid w:val="5C7F7783"/>
    <w:rsid w:val="5C8865C0"/>
    <w:rsid w:val="5C8F052C"/>
    <w:rsid w:val="5C9A6AFA"/>
    <w:rsid w:val="5C9B3812"/>
    <w:rsid w:val="5CA72C3F"/>
    <w:rsid w:val="5CB811E4"/>
    <w:rsid w:val="5CBF2481"/>
    <w:rsid w:val="5CC5036B"/>
    <w:rsid w:val="5CDC2705"/>
    <w:rsid w:val="5CE81827"/>
    <w:rsid w:val="5CF00399"/>
    <w:rsid w:val="5D0616E6"/>
    <w:rsid w:val="5D0D15C5"/>
    <w:rsid w:val="5D185D2C"/>
    <w:rsid w:val="5D485882"/>
    <w:rsid w:val="5D4B7730"/>
    <w:rsid w:val="5D731C0E"/>
    <w:rsid w:val="5D7C56B0"/>
    <w:rsid w:val="5D902A97"/>
    <w:rsid w:val="5D9918DB"/>
    <w:rsid w:val="5DA65645"/>
    <w:rsid w:val="5DC14789"/>
    <w:rsid w:val="5DD459AE"/>
    <w:rsid w:val="5DD8549F"/>
    <w:rsid w:val="5DEE4E21"/>
    <w:rsid w:val="5DF052F1"/>
    <w:rsid w:val="5DF1395D"/>
    <w:rsid w:val="5DFC17F4"/>
    <w:rsid w:val="5E0E2DC7"/>
    <w:rsid w:val="5E1A118B"/>
    <w:rsid w:val="5E20700F"/>
    <w:rsid w:val="5E307FC0"/>
    <w:rsid w:val="5E310B53"/>
    <w:rsid w:val="5E5B4DB2"/>
    <w:rsid w:val="5E683844"/>
    <w:rsid w:val="5E72568C"/>
    <w:rsid w:val="5E7A5AB4"/>
    <w:rsid w:val="5E85287F"/>
    <w:rsid w:val="5E8D5AEB"/>
    <w:rsid w:val="5EBD0A6B"/>
    <w:rsid w:val="5EBE6530"/>
    <w:rsid w:val="5EC47699"/>
    <w:rsid w:val="5ED13367"/>
    <w:rsid w:val="5ED704EF"/>
    <w:rsid w:val="5EDD3571"/>
    <w:rsid w:val="5EEF274F"/>
    <w:rsid w:val="5F042A24"/>
    <w:rsid w:val="5F0872E7"/>
    <w:rsid w:val="5F092B01"/>
    <w:rsid w:val="5F0A707B"/>
    <w:rsid w:val="5F0E45BB"/>
    <w:rsid w:val="5F154FA4"/>
    <w:rsid w:val="5F395829"/>
    <w:rsid w:val="5F403573"/>
    <w:rsid w:val="5F483420"/>
    <w:rsid w:val="5F4B0914"/>
    <w:rsid w:val="5F4E078D"/>
    <w:rsid w:val="5F522264"/>
    <w:rsid w:val="5F552619"/>
    <w:rsid w:val="5F937BC0"/>
    <w:rsid w:val="5FAD2F0A"/>
    <w:rsid w:val="5FB46669"/>
    <w:rsid w:val="5FB6145B"/>
    <w:rsid w:val="5FCD0D57"/>
    <w:rsid w:val="5FD059DD"/>
    <w:rsid w:val="5FD24797"/>
    <w:rsid w:val="5FDE14F6"/>
    <w:rsid w:val="5FF23EB6"/>
    <w:rsid w:val="60056169"/>
    <w:rsid w:val="60064B8A"/>
    <w:rsid w:val="6006744E"/>
    <w:rsid w:val="601A4414"/>
    <w:rsid w:val="60253C49"/>
    <w:rsid w:val="602A05A0"/>
    <w:rsid w:val="60461A29"/>
    <w:rsid w:val="60617E54"/>
    <w:rsid w:val="60643401"/>
    <w:rsid w:val="607916D3"/>
    <w:rsid w:val="607D27E2"/>
    <w:rsid w:val="60853EF7"/>
    <w:rsid w:val="609011C3"/>
    <w:rsid w:val="60952DDA"/>
    <w:rsid w:val="6095494E"/>
    <w:rsid w:val="60AC4BFC"/>
    <w:rsid w:val="60B36DAD"/>
    <w:rsid w:val="60C15582"/>
    <w:rsid w:val="60CA64A0"/>
    <w:rsid w:val="611A2884"/>
    <w:rsid w:val="611C2AD8"/>
    <w:rsid w:val="611E2DCC"/>
    <w:rsid w:val="6124424E"/>
    <w:rsid w:val="61277EA7"/>
    <w:rsid w:val="61300818"/>
    <w:rsid w:val="61391EA6"/>
    <w:rsid w:val="6139406D"/>
    <w:rsid w:val="614E7B14"/>
    <w:rsid w:val="61567E3B"/>
    <w:rsid w:val="61705D1D"/>
    <w:rsid w:val="618764F2"/>
    <w:rsid w:val="618F0139"/>
    <w:rsid w:val="61923D99"/>
    <w:rsid w:val="61A1561E"/>
    <w:rsid w:val="61B30462"/>
    <w:rsid w:val="61D07355"/>
    <w:rsid w:val="61D25649"/>
    <w:rsid w:val="61D737C4"/>
    <w:rsid w:val="61DA17E8"/>
    <w:rsid w:val="61FC5780"/>
    <w:rsid w:val="620228ED"/>
    <w:rsid w:val="62171841"/>
    <w:rsid w:val="62350B39"/>
    <w:rsid w:val="623753DB"/>
    <w:rsid w:val="626A7C77"/>
    <w:rsid w:val="627F4A05"/>
    <w:rsid w:val="6288014A"/>
    <w:rsid w:val="628B17B4"/>
    <w:rsid w:val="628F40DF"/>
    <w:rsid w:val="62D0444C"/>
    <w:rsid w:val="62D9468A"/>
    <w:rsid w:val="62FA5FE8"/>
    <w:rsid w:val="63124206"/>
    <w:rsid w:val="631322A9"/>
    <w:rsid w:val="63147912"/>
    <w:rsid w:val="631C334E"/>
    <w:rsid w:val="632E4046"/>
    <w:rsid w:val="6331344C"/>
    <w:rsid w:val="63336C37"/>
    <w:rsid w:val="63385B44"/>
    <w:rsid w:val="635043CE"/>
    <w:rsid w:val="63595980"/>
    <w:rsid w:val="636717BD"/>
    <w:rsid w:val="639519E9"/>
    <w:rsid w:val="63B7541B"/>
    <w:rsid w:val="63C8414D"/>
    <w:rsid w:val="63D664BF"/>
    <w:rsid w:val="63D72482"/>
    <w:rsid w:val="63EB3A6F"/>
    <w:rsid w:val="640102A1"/>
    <w:rsid w:val="6410383E"/>
    <w:rsid w:val="641F5F83"/>
    <w:rsid w:val="64213213"/>
    <w:rsid w:val="64432611"/>
    <w:rsid w:val="6443490F"/>
    <w:rsid w:val="64551E81"/>
    <w:rsid w:val="647840DD"/>
    <w:rsid w:val="64797278"/>
    <w:rsid w:val="647E5D3F"/>
    <w:rsid w:val="648174AF"/>
    <w:rsid w:val="64817724"/>
    <w:rsid w:val="64934067"/>
    <w:rsid w:val="649861C6"/>
    <w:rsid w:val="64A33792"/>
    <w:rsid w:val="64C030D8"/>
    <w:rsid w:val="64CC6AAA"/>
    <w:rsid w:val="64DE4504"/>
    <w:rsid w:val="64E0154C"/>
    <w:rsid w:val="64EB1095"/>
    <w:rsid w:val="64FF65A4"/>
    <w:rsid w:val="651318A8"/>
    <w:rsid w:val="652A472E"/>
    <w:rsid w:val="653B7A82"/>
    <w:rsid w:val="6545509B"/>
    <w:rsid w:val="654F30A6"/>
    <w:rsid w:val="655E6445"/>
    <w:rsid w:val="656A5A09"/>
    <w:rsid w:val="65917B29"/>
    <w:rsid w:val="65994576"/>
    <w:rsid w:val="65A2023D"/>
    <w:rsid w:val="65AB1B29"/>
    <w:rsid w:val="65B051B9"/>
    <w:rsid w:val="65B62B2E"/>
    <w:rsid w:val="65C2190F"/>
    <w:rsid w:val="65D24641"/>
    <w:rsid w:val="65D4171C"/>
    <w:rsid w:val="65E1528C"/>
    <w:rsid w:val="65F95327"/>
    <w:rsid w:val="660572A1"/>
    <w:rsid w:val="660A4800"/>
    <w:rsid w:val="661E1568"/>
    <w:rsid w:val="66213B1F"/>
    <w:rsid w:val="663105EB"/>
    <w:rsid w:val="66340583"/>
    <w:rsid w:val="66391DDA"/>
    <w:rsid w:val="66431156"/>
    <w:rsid w:val="66477A25"/>
    <w:rsid w:val="664A5E70"/>
    <w:rsid w:val="665070AF"/>
    <w:rsid w:val="66852421"/>
    <w:rsid w:val="66853F3B"/>
    <w:rsid w:val="66912EF7"/>
    <w:rsid w:val="669F1E63"/>
    <w:rsid w:val="66A52C25"/>
    <w:rsid w:val="66BD670D"/>
    <w:rsid w:val="66C272B2"/>
    <w:rsid w:val="66CE0B81"/>
    <w:rsid w:val="66D2767A"/>
    <w:rsid w:val="66D416EF"/>
    <w:rsid w:val="66DE6164"/>
    <w:rsid w:val="66F94133"/>
    <w:rsid w:val="6703252B"/>
    <w:rsid w:val="670517C4"/>
    <w:rsid w:val="670A7ACF"/>
    <w:rsid w:val="670C7632"/>
    <w:rsid w:val="671D5F31"/>
    <w:rsid w:val="6727344A"/>
    <w:rsid w:val="6733402E"/>
    <w:rsid w:val="673C5AE3"/>
    <w:rsid w:val="673F28D2"/>
    <w:rsid w:val="674E11FB"/>
    <w:rsid w:val="67573BE2"/>
    <w:rsid w:val="6758275B"/>
    <w:rsid w:val="675964A2"/>
    <w:rsid w:val="678663E2"/>
    <w:rsid w:val="67873C65"/>
    <w:rsid w:val="67B17ACE"/>
    <w:rsid w:val="67B433E7"/>
    <w:rsid w:val="67B932FA"/>
    <w:rsid w:val="67C61E64"/>
    <w:rsid w:val="67DD5CCA"/>
    <w:rsid w:val="67F87E82"/>
    <w:rsid w:val="681F1A32"/>
    <w:rsid w:val="683B4C35"/>
    <w:rsid w:val="68442F57"/>
    <w:rsid w:val="68460FED"/>
    <w:rsid w:val="685A216D"/>
    <w:rsid w:val="6863402E"/>
    <w:rsid w:val="68784779"/>
    <w:rsid w:val="6879315F"/>
    <w:rsid w:val="68797117"/>
    <w:rsid w:val="68A7676A"/>
    <w:rsid w:val="68BE670A"/>
    <w:rsid w:val="68C006D4"/>
    <w:rsid w:val="68CF052C"/>
    <w:rsid w:val="68DC576C"/>
    <w:rsid w:val="68ED53B9"/>
    <w:rsid w:val="68F57A4B"/>
    <w:rsid w:val="69093B6F"/>
    <w:rsid w:val="69215DDC"/>
    <w:rsid w:val="692B7631"/>
    <w:rsid w:val="692F4C2B"/>
    <w:rsid w:val="693C36D3"/>
    <w:rsid w:val="6946216C"/>
    <w:rsid w:val="69493212"/>
    <w:rsid w:val="695C12C8"/>
    <w:rsid w:val="695D347A"/>
    <w:rsid w:val="696652C7"/>
    <w:rsid w:val="697239CF"/>
    <w:rsid w:val="69745213"/>
    <w:rsid w:val="69847683"/>
    <w:rsid w:val="69941B08"/>
    <w:rsid w:val="699B76AB"/>
    <w:rsid w:val="69A6469E"/>
    <w:rsid w:val="69A70F2B"/>
    <w:rsid w:val="69AC63F3"/>
    <w:rsid w:val="69B13737"/>
    <w:rsid w:val="69BC5846"/>
    <w:rsid w:val="69C67E34"/>
    <w:rsid w:val="69E53703"/>
    <w:rsid w:val="69E717B3"/>
    <w:rsid w:val="69F66404"/>
    <w:rsid w:val="6A0664F0"/>
    <w:rsid w:val="6A0B2B1D"/>
    <w:rsid w:val="6A0B5A8F"/>
    <w:rsid w:val="6A121B55"/>
    <w:rsid w:val="6A4E4A49"/>
    <w:rsid w:val="6A5D786A"/>
    <w:rsid w:val="6A790EC9"/>
    <w:rsid w:val="6A81424A"/>
    <w:rsid w:val="6A815ADD"/>
    <w:rsid w:val="6A847FFC"/>
    <w:rsid w:val="6AA17AB6"/>
    <w:rsid w:val="6AA638F9"/>
    <w:rsid w:val="6AD8057A"/>
    <w:rsid w:val="6ADF0BB9"/>
    <w:rsid w:val="6AF43ED8"/>
    <w:rsid w:val="6AF75897"/>
    <w:rsid w:val="6AF912CF"/>
    <w:rsid w:val="6B18627E"/>
    <w:rsid w:val="6B332E21"/>
    <w:rsid w:val="6B557C97"/>
    <w:rsid w:val="6B654494"/>
    <w:rsid w:val="6B7872BB"/>
    <w:rsid w:val="6B7F31E3"/>
    <w:rsid w:val="6B9C78A3"/>
    <w:rsid w:val="6B9F4CD1"/>
    <w:rsid w:val="6BB361A2"/>
    <w:rsid w:val="6BC17A94"/>
    <w:rsid w:val="6BC40847"/>
    <w:rsid w:val="6BD03F40"/>
    <w:rsid w:val="6BFB419C"/>
    <w:rsid w:val="6BFF59B7"/>
    <w:rsid w:val="6C097D27"/>
    <w:rsid w:val="6C1A4A62"/>
    <w:rsid w:val="6C4E77BD"/>
    <w:rsid w:val="6C6C0E32"/>
    <w:rsid w:val="6C731F01"/>
    <w:rsid w:val="6C795BE4"/>
    <w:rsid w:val="6C8B4C94"/>
    <w:rsid w:val="6C8E0FEB"/>
    <w:rsid w:val="6C9A1787"/>
    <w:rsid w:val="6C9E6E12"/>
    <w:rsid w:val="6CA84B00"/>
    <w:rsid w:val="6CAC420A"/>
    <w:rsid w:val="6CAE41CA"/>
    <w:rsid w:val="6CAE6E33"/>
    <w:rsid w:val="6CAF6085"/>
    <w:rsid w:val="6CC33F4F"/>
    <w:rsid w:val="6CCC4556"/>
    <w:rsid w:val="6CD01102"/>
    <w:rsid w:val="6CDC0C4F"/>
    <w:rsid w:val="6CE2211A"/>
    <w:rsid w:val="6CEF1A75"/>
    <w:rsid w:val="6CFD2EF5"/>
    <w:rsid w:val="6D061976"/>
    <w:rsid w:val="6D153BF5"/>
    <w:rsid w:val="6D1A7743"/>
    <w:rsid w:val="6D284A7E"/>
    <w:rsid w:val="6D285738"/>
    <w:rsid w:val="6D3F5129"/>
    <w:rsid w:val="6D7101EF"/>
    <w:rsid w:val="6D727FDE"/>
    <w:rsid w:val="6D863671"/>
    <w:rsid w:val="6D925012"/>
    <w:rsid w:val="6D9777B6"/>
    <w:rsid w:val="6DA920A5"/>
    <w:rsid w:val="6DAB0508"/>
    <w:rsid w:val="6DB85007"/>
    <w:rsid w:val="6DBC163A"/>
    <w:rsid w:val="6DC006FD"/>
    <w:rsid w:val="6DC20F44"/>
    <w:rsid w:val="6DE23266"/>
    <w:rsid w:val="6E0F3931"/>
    <w:rsid w:val="6E264532"/>
    <w:rsid w:val="6E2A2AEC"/>
    <w:rsid w:val="6E2D0336"/>
    <w:rsid w:val="6E421B03"/>
    <w:rsid w:val="6E435305"/>
    <w:rsid w:val="6E4B1E68"/>
    <w:rsid w:val="6E4C5EDF"/>
    <w:rsid w:val="6E5C40E2"/>
    <w:rsid w:val="6E5F6410"/>
    <w:rsid w:val="6E6F3BF6"/>
    <w:rsid w:val="6E7C7406"/>
    <w:rsid w:val="6E8F4A6F"/>
    <w:rsid w:val="6EDE3D19"/>
    <w:rsid w:val="6EF20757"/>
    <w:rsid w:val="6EF758BA"/>
    <w:rsid w:val="6F0F4163"/>
    <w:rsid w:val="6F52450C"/>
    <w:rsid w:val="6F6B5112"/>
    <w:rsid w:val="6F873DD5"/>
    <w:rsid w:val="6F8F1616"/>
    <w:rsid w:val="6F927ACE"/>
    <w:rsid w:val="6F9A6330"/>
    <w:rsid w:val="6F9B2F94"/>
    <w:rsid w:val="6FAD1412"/>
    <w:rsid w:val="6FC55C51"/>
    <w:rsid w:val="6FD81862"/>
    <w:rsid w:val="6FE15260"/>
    <w:rsid w:val="6FE76D26"/>
    <w:rsid w:val="6FEC2482"/>
    <w:rsid w:val="6FF67FF0"/>
    <w:rsid w:val="6FF72E60"/>
    <w:rsid w:val="700A6F0F"/>
    <w:rsid w:val="701E0F20"/>
    <w:rsid w:val="703776EE"/>
    <w:rsid w:val="705762E8"/>
    <w:rsid w:val="705809CD"/>
    <w:rsid w:val="7082228A"/>
    <w:rsid w:val="70A00B21"/>
    <w:rsid w:val="70B515D6"/>
    <w:rsid w:val="70B84D47"/>
    <w:rsid w:val="70BF2568"/>
    <w:rsid w:val="70C10644"/>
    <w:rsid w:val="70C10EF2"/>
    <w:rsid w:val="70C50E6B"/>
    <w:rsid w:val="70C808D6"/>
    <w:rsid w:val="70DA2F40"/>
    <w:rsid w:val="70E72341"/>
    <w:rsid w:val="70EE7FD5"/>
    <w:rsid w:val="70F7054C"/>
    <w:rsid w:val="710A74ED"/>
    <w:rsid w:val="7132481A"/>
    <w:rsid w:val="71326B51"/>
    <w:rsid w:val="714923BC"/>
    <w:rsid w:val="7158591D"/>
    <w:rsid w:val="716D0038"/>
    <w:rsid w:val="717F0714"/>
    <w:rsid w:val="718640B5"/>
    <w:rsid w:val="7198688A"/>
    <w:rsid w:val="71A40345"/>
    <w:rsid w:val="71D041A4"/>
    <w:rsid w:val="71DE24FA"/>
    <w:rsid w:val="71FA33E1"/>
    <w:rsid w:val="71FE2DD4"/>
    <w:rsid w:val="7203657E"/>
    <w:rsid w:val="720B156C"/>
    <w:rsid w:val="72302D13"/>
    <w:rsid w:val="723C773B"/>
    <w:rsid w:val="72480004"/>
    <w:rsid w:val="724E2FB3"/>
    <w:rsid w:val="72611888"/>
    <w:rsid w:val="72663EBE"/>
    <w:rsid w:val="727351BC"/>
    <w:rsid w:val="72770A14"/>
    <w:rsid w:val="727A481B"/>
    <w:rsid w:val="72AB0B5A"/>
    <w:rsid w:val="72BC2D15"/>
    <w:rsid w:val="72BC7C17"/>
    <w:rsid w:val="72BD6BBB"/>
    <w:rsid w:val="72DB09FC"/>
    <w:rsid w:val="72F302BC"/>
    <w:rsid w:val="72FA2D58"/>
    <w:rsid w:val="73211424"/>
    <w:rsid w:val="73390B2B"/>
    <w:rsid w:val="733C04C3"/>
    <w:rsid w:val="73632E59"/>
    <w:rsid w:val="73686F91"/>
    <w:rsid w:val="73822544"/>
    <w:rsid w:val="738C36A1"/>
    <w:rsid w:val="73915202"/>
    <w:rsid w:val="739926DE"/>
    <w:rsid w:val="73B56BFB"/>
    <w:rsid w:val="73BF2C34"/>
    <w:rsid w:val="73C47076"/>
    <w:rsid w:val="73D8361A"/>
    <w:rsid w:val="73DC0051"/>
    <w:rsid w:val="7401654C"/>
    <w:rsid w:val="740E4FB8"/>
    <w:rsid w:val="74101787"/>
    <w:rsid w:val="74242954"/>
    <w:rsid w:val="74382967"/>
    <w:rsid w:val="743B65C8"/>
    <w:rsid w:val="74592EB2"/>
    <w:rsid w:val="74622978"/>
    <w:rsid w:val="74760288"/>
    <w:rsid w:val="74B728F3"/>
    <w:rsid w:val="74BC209B"/>
    <w:rsid w:val="74C12814"/>
    <w:rsid w:val="74E90FB2"/>
    <w:rsid w:val="751959C4"/>
    <w:rsid w:val="75226675"/>
    <w:rsid w:val="753A30E6"/>
    <w:rsid w:val="753D039E"/>
    <w:rsid w:val="753D1F3C"/>
    <w:rsid w:val="75443E30"/>
    <w:rsid w:val="7548217D"/>
    <w:rsid w:val="7584013F"/>
    <w:rsid w:val="7587235E"/>
    <w:rsid w:val="759310EB"/>
    <w:rsid w:val="75A05410"/>
    <w:rsid w:val="75B74317"/>
    <w:rsid w:val="75D839F9"/>
    <w:rsid w:val="75DE6167"/>
    <w:rsid w:val="75E66121"/>
    <w:rsid w:val="75F27E14"/>
    <w:rsid w:val="762073A8"/>
    <w:rsid w:val="762F27B0"/>
    <w:rsid w:val="7630135A"/>
    <w:rsid w:val="76431324"/>
    <w:rsid w:val="765020C0"/>
    <w:rsid w:val="765E03A6"/>
    <w:rsid w:val="76745361"/>
    <w:rsid w:val="767667C1"/>
    <w:rsid w:val="76814079"/>
    <w:rsid w:val="7691224A"/>
    <w:rsid w:val="76A456BB"/>
    <w:rsid w:val="76D10A90"/>
    <w:rsid w:val="76D56BF2"/>
    <w:rsid w:val="770B1C67"/>
    <w:rsid w:val="77131823"/>
    <w:rsid w:val="77207A51"/>
    <w:rsid w:val="77254A1D"/>
    <w:rsid w:val="7766749C"/>
    <w:rsid w:val="777B70F0"/>
    <w:rsid w:val="77823901"/>
    <w:rsid w:val="77916059"/>
    <w:rsid w:val="77A47295"/>
    <w:rsid w:val="77A61BCF"/>
    <w:rsid w:val="77B83A80"/>
    <w:rsid w:val="77C14F90"/>
    <w:rsid w:val="77D2386D"/>
    <w:rsid w:val="77DD748F"/>
    <w:rsid w:val="77E545C8"/>
    <w:rsid w:val="77EB1C28"/>
    <w:rsid w:val="77F87385"/>
    <w:rsid w:val="7803257B"/>
    <w:rsid w:val="780A6FCC"/>
    <w:rsid w:val="780B4B2A"/>
    <w:rsid w:val="780B74F0"/>
    <w:rsid w:val="7812237B"/>
    <w:rsid w:val="783B64C0"/>
    <w:rsid w:val="783E6621"/>
    <w:rsid w:val="784B2AE7"/>
    <w:rsid w:val="784C0444"/>
    <w:rsid w:val="784F5695"/>
    <w:rsid w:val="785D0ECD"/>
    <w:rsid w:val="78695FBE"/>
    <w:rsid w:val="787368F3"/>
    <w:rsid w:val="78883C67"/>
    <w:rsid w:val="788C007F"/>
    <w:rsid w:val="78B16891"/>
    <w:rsid w:val="78BC62E7"/>
    <w:rsid w:val="78C51DFC"/>
    <w:rsid w:val="78D50608"/>
    <w:rsid w:val="78DB3308"/>
    <w:rsid w:val="78E03FFE"/>
    <w:rsid w:val="78E52BB2"/>
    <w:rsid w:val="78F01D9B"/>
    <w:rsid w:val="78F817C4"/>
    <w:rsid w:val="78FA153C"/>
    <w:rsid w:val="78FE77E4"/>
    <w:rsid w:val="790561C5"/>
    <w:rsid w:val="7908444C"/>
    <w:rsid w:val="790A3EDE"/>
    <w:rsid w:val="790E3EEB"/>
    <w:rsid w:val="791537C6"/>
    <w:rsid w:val="791A1F60"/>
    <w:rsid w:val="791A24BF"/>
    <w:rsid w:val="7924203F"/>
    <w:rsid w:val="79407B8B"/>
    <w:rsid w:val="79425374"/>
    <w:rsid w:val="7946024B"/>
    <w:rsid w:val="79467FA1"/>
    <w:rsid w:val="79483B6A"/>
    <w:rsid w:val="79507D56"/>
    <w:rsid w:val="79520827"/>
    <w:rsid w:val="795959FC"/>
    <w:rsid w:val="796048FA"/>
    <w:rsid w:val="7967633C"/>
    <w:rsid w:val="79695A94"/>
    <w:rsid w:val="796D482D"/>
    <w:rsid w:val="79701073"/>
    <w:rsid w:val="79764548"/>
    <w:rsid w:val="797A2DFE"/>
    <w:rsid w:val="797E0B3F"/>
    <w:rsid w:val="79A34C74"/>
    <w:rsid w:val="79AD2512"/>
    <w:rsid w:val="79C124FE"/>
    <w:rsid w:val="79CE6075"/>
    <w:rsid w:val="79D24D08"/>
    <w:rsid w:val="79D54C17"/>
    <w:rsid w:val="79D964D1"/>
    <w:rsid w:val="79F845BF"/>
    <w:rsid w:val="79FC128B"/>
    <w:rsid w:val="7A0E1868"/>
    <w:rsid w:val="7A2F07D6"/>
    <w:rsid w:val="7A3F605B"/>
    <w:rsid w:val="7A4531CD"/>
    <w:rsid w:val="7A504C14"/>
    <w:rsid w:val="7A5713E3"/>
    <w:rsid w:val="7A59293A"/>
    <w:rsid w:val="7A673CB7"/>
    <w:rsid w:val="7A6B3007"/>
    <w:rsid w:val="7A8631EE"/>
    <w:rsid w:val="7A974680"/>
    <w:rsid w:val="7AC87EE1"/>
    <w:rsid w:val="7AD7284C"/>
    <w:rsid w:val="7AE272E9"/>
    <w:rsid w:val="7AF41145"/>
    <w:rsid w:val="7AF72371"/>
    <w:rsid w:val="7AFE5611"/>
    <w:rsid w:val="7B01489D"/>
    <w:rsid w:val="7B1D1E46"/>
    <w:rsid w:val="7B231D13"/>
    <w:rsid w:val="7B2C5FC9"/>
    <w:rsid w:val="7B4871DB"/>
    <w:rsid w:val="7B4E427C"/>
    <w:rsid w:val="7B5E3B71"/>
    <w:rsid w:val="7B5F51B4"/>
    <w:rsid w:val="7B6C46C4"/>
    <w:rsid w:val="7B6D4342"/>
    <w:rsid w:val="7B6E5596"/>
    <w:rsid w:val="7B880632"/>
    <w:rsid w:val="7BAC5107"/>
    <w:rsid w:val="7BBF3AE4"/>
    <w:rsid w:val="7BC50D73"/>
    <w:rsid w:val="7BC736D0"/>
    <w:rsid w:val="7BE44282"/>
    <w:rsid w:val="7BE72FDD"/>
    <w:rsid w:val="7BF515E8"/>
    <w:rsid w:val="7C112C0F"/>
    <w:rsid w:val="7C126C9E"/>
    <w:rsid w:val="7C136E9B"/>
    <w:rsid w:val="7C145CF1"/>
    <w:rsid w:val="7C1B2FD7"/>
    <w:rsid w:val="7C39759E"/>
    <w:rsid w:val="7C3F1771"/>
    <w:rsid w:val="7C421604"/>
    <w:rsid w:val="7C471B52"/>
    <w:rsid w:val="7C5B36BC"/>
    <w:rsid w:val="7C7F1BAE"/>
    <w:rsid w:val="7C8A19FC"/>
    <w:rsid w:val="7C8D1AC5"/>
    <w:rsid w:val="7C9608BC"/>
    <w:rsid w:val="7CA46C57"/>
    <w:rsid w:val="7CA56A00"/>
    <w:rsid w:val="7CAC501B"/>
    <w:rsid w:val="7CAF566E"/>
    <w:rsid w:val="7CB00608"/>
    <w:rsid w:val="7CB02AFF"/>
    <w:rsid w:val="7CB85125"/>
    <w:rsid w:val="7CC51F12"/>
    <w:rsid w:val="7CCD0B31"/>
    <w:rsid w:val="7CD523B6"/>
    <w:rsid w:val="7CD55238"/>
    <w:rsid w:val="7CD939DE"/>
    <w:rsid w:val="7CD93B92"/>
    <w:rsid w:val="7CDF7DAF"/>
    <w:rsid w:val="7CFD7A3B"/>
    <w:rsid w:val="7D221A1E"/>
    <w:rsid w:val="7D244EC1"/>
    <w:rsid w:val="7D31593A"/>
    <w:rsid w:val="7D5422F3"/>
    <w:rsid w:val="7D7D5638"/>
    <w:rsid w:val="7D8B7000"/>
    <w:rsid w:val="7D994940"/>
    <w:rsid w:val="7DA23ABA"/>
    <w:rsid w:val="7DA31210"/>
    <w:rsid w:val="7DA8169C"/>
    <w:rsid w:val="7DAE0E7E"/>
    <w:rsid w:val="7DB85DA0"/>
    <w:rsid w:val="7DB9741D"/>
    <w:rsid w:val="7DBE0099"/>
    <w:rsid w:val="7DC5606A"/>
    <w:rsid w:val="7DE805C1"/>
    <w:rsid w:val="7DF72691"/>
    <w:rsid w:val="7E043E39"/>
    <w:rsid w:val="7E0B2290"/>
    <w:rsid w:val="7E0F44B6"/>
    <w:rsid w:val="7E0F4FF3"/>
    <w:rsid w:val="7E18550E"/>
    <w:rsid w:val="7E23148C"/>
    <w:rsid w:val="7E232FE7"/>
    <w:rsid w:val="7E4C610E"/>
    <w:rsid w:val="7E5E02A3"/>
    <w:rsid w:val="7E6A714A"/>
    <w:rsid w:val="7E965A8F"/>
    <w:rsid w:val="7E9F0F84"/>
    <w:rsid w:val="7EA26B98"/>
    <w:rsid w:val="7EA90C6B"/>
    <w:rsid w:val="7EC9159E"/>
    <w:rsid w:val="7ED97C9E"/>
    <w:rsid w:val="7EDE76AE"/>
    <w:rsid w:val="7EE535CD"/>
    <w:rsid w:val="7EEA2CB7"/>
    <w:rsid w:val="7EFA2E85"/>
    <w:rsid w:val="7EFD6F7D"/>
    <w:rsid w:val="7F0A04A3"/>
    <w:rsid w:val="7F0F203E"/>
    <w:rsid w:val="7F203161"/>
    <w:rsid w:val="7F25260D"/>
    <w:rsid w:val="7F2D3D96"/>
    <w:rsid w:val="7F3F7FCA"/>
    <w:rsid w:val="7F751677"/>
    <w:rsid w:val="7F7E4788"/>
    <w:rsid w:val="7F8402F0"/>
    <w:rsid w:val="7F9125EA"/>
    <w:rsid w:val="7F9A1422"/>
    <w:rsid w:val="7FA05573"/>
    <w:rsid w:val="7FA73F44"/>
    <w:rsid w:val="7FCC0130"/>
    <w:rsid w:val="7FDF4973"/>
    <w:rsid w:val="7FE766F3"/>
    <w:rsid w:val="7FF32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39"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ind w:left="120"/>
      <w:jc w:val="left"/>
      <w:outlineLvl w:val="0"/>
    </w:pPr>
    <w:rPr>
      <w:rFonts w:ascii="Microsoft JhengHei" w:hAnsi="Microsoft JhengHei" w:eastAsia="Microsoft JhengHei" w:cs="Times New Roman"/>
      <w:kern w:val="0"/>
      <w:sz w:val="32"/>
      <w:szCs w:val="32"/>
      <w:lang w:eastAsia="en-US"/>
    </w:rPr>
  </w:style>
  <w:style w:type="paragraph" w:styleId="3">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spacing w:line="360" w:lineRule="auto"/>
      <w:ind w:firstLine="420"/>
    </w:pPr>
    <w:rPr>
      <w:rFonts w:ascii="Times New Roman" w:hAnsi="Times New Roman" w:eastAsia="仿宋_GB2312" w:cs="Times New Roman"/>
      <w:sz w:val="24"/>
    </w:rPr>
  </w:style>
  <w:style w:type="paragraph" w:styleId="5">
    <w:name w:val="annotation text"/>
    <w:basedOn w:val="1"/>
    <w:qFormat/>
    <w:uiPriority w:val="0"/>
    <w:pPr>
      <w:jc w:val="left"/>
    </w:pPr>
  </w:style>
  <w:style w:type="paragraph" w:styleId="6">
    <w:name w:val="Body Text"/>
    <w:basedOn w:val="1"/>
    <w:qFormat/>
    <w:uiPriority w:val="1"/>
    <w:pPr>
      <w:ind w:left="20"/>
      <w:jc w:val="left"/>
    </w:pPr>
    <w:rPr>
      <w:rFonts w:ascii="宋体" w:hAnsi="宋体" w:eastAsia="宋体" w:cs="Times New Roman"/>
      <w:kern w:val="0"/>
      <w:szCs w:val="21"/>
      <w:lang w:eastAsia="en-US"/>
    </w:rPr>
  </w:style>
  <w:style w:type="paragraph" w:styleId="7">
    <w:name w:val="toc 3"/>
    <w:basedOn w:val="1"/>
    <w:next w:val="1"/>
    <w:qFormat/>
    <w:uiPriority w:val="39"/>
    <w:pPr>
      <w:tabs>
        <w:tab w:val="right" w:leader="dot" w:pos="9241"/>
      </w:tabs>
      <w:ind w:firstLine="102" w:firstLineChars="100"/>
      <w:jc w:val="left"/>
    </w:pPr>
    <w:rPr>
      <w:rFonts w:ascii="宋体"/>
      <w:szCs w:val="21"/>
    </w:rPr>
  </w:style>
  <w:style w:type="paragraph" w:styleId="8">
    <w:name w:val="Plain Text"/>
    <w:qFormat/>
    <w:uiPriority w:val="0"/>
    <w:pPr>
      <w:widowControl w:val="0"/>
      <w:jc w:val="both"/>
    </w:pPr>
    <w:rPr>
      <w:rFonts w:ascii="宋体" w:hAnsi="Courier New" w:eastAsia="宋体" w:cs="Times New Roman"/>
      <w:kern w:val="2"/>
      <w:sz w:val="21"/>
      <w:lang w:val="en-US" w:eastAsia="zh-CN" w:bidi="ar-SA"/>
    </w:rPr>
  </w:style>
  <w:style w:type="paragraph" w:styleId="9">
    <w:name w:val="Balloon Text"/>
    <w:basedOn w:val="1"/>
    <w:link w:val="66"/>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9241"/>
      </w:tabs>
      <w:spacing w:beforeLines="25" w:afterLines="25"/>
      <w:jc w:val="left"/>
    </w:pPr>
    <w:rPr>
      <w:rFonts w:ascii="宋体"/>
      <w:szCs w:val="21"/>
    </w:rPr>
  </w:style>
  <w:style w:type="paragraph" w:styleId="13">
    <w:name w:val="toc 4"/>
    <w:basedOn w:val="1"/>
    <w:next w:val="1"/>
    <w:qFormat/>
    <w:uiPriority w:val="39"/>
    <w:pPr>
      <w:tabs>
        <w:tab w:val="right" w:leader="dot" w:pos="9241"/>
      </w:tabs>
      <w:ind w:firstLine="198" w:firstLineChars="200"/>
      <w:jc w:val="left"/>
    </w:pPr>
    <w:rPr>
      <w:rFonts w:ascii="宋体"/>
      <w:szCs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99"/>
    <w:rPr>
      <w:sz w:val="18"/>
      <w:szCs w:val="18"/>
    </w:rPr>
  </w:style>
  <w:style w:type="character" w:styleId="18">
    <w:name w:val="Hyperlink"/>
    <w:basedOn w:val="16"/>
    <w:qFormat/>
    <w:uiPriority w:val="99"/>
    <w:rPr>
      <w:color w:val="0000FF"/>
      <w:spacing w:val="0"/>
      <w:w w:val="100"/>
      <w:szCs w:val="21"/>
      <w:u w:val="single"/>
    </w:rPr>
  </w:style>
  <w:style w:type="paragraph" w:customStyle="1" w:styleId="19">
    <w:name w:val="Table Paragraph"/>
    <w:basedOn w:val="1"/>
    <w:qFormat/>
    <w:uiPriority w:val="1"/>
    <w:pPr>
      <w:jc w:val="left"/>
    </w:pPr>
    <w:rPr>
      <w:rFonts w:ascii="Calibri" w:hAnsi="Calibri" w:eastAsia="宋体" w:cs="Times New Roman"/>
      <w:kern w:val="0"/>
      <w:sz w:val="22"/>
      <w:lang w:eastAsia="en-US"/>
    </w:rPr>
  </w:style>
  <w:style w:type="table" w:customStyle="1" w:styleId="20">
    <w:name w:val="Table Normal"/>
    <w:unhideWhenUsed/>
    <w:qFormat/>
    <w:uiPriority w:val="2"/>
    <w:pPr>
      <w:widowControl w:val="0"/>
    </w:pPr>
    <w:rPr>
      <w:sz w:val="22"/>
      <w:lang w:eastAsia="en-US"/>
    </w:rPr>
    <w:tblPr>
      <w:tblCellMar>
        <w:top w:w="0" w:type="dxa"/>
        <w:left w:w="0" w:type="dxa"/>
        <w:bottom w:w="0" w:type="dxa"/>
        <w:right w:w="0" w:type="dxa"/>
      </w:tblCellMar>
    </w:tblPr>
  </w:style>
  <w:style w:type="paragraph" w:customStyle="1" w:styleId="21">
    <w:name w:val="列出段落2"/>
    <w:basedOn w:val="1"/>
    <w:link w:val="22"/>
    <w:unhideWhenUsed/>
    <w:qFormat/>
    <w:uiPriority w:val="99"/>
    <w:pPr>
      <w:ind w:firstLine="420" w:firstLineChars="200"/>
    </w:pPr>
  </w:style>
  <w:style w:type="character" w:customStyle="1" w:styleId="22">
    <w:name w:val="List Paragraph Char"/>
    <w:link w:val="21"/>
    <w:qFormat/>
    <w:uiPriority w:val="99"/>
  </w:style>
  <w:style w:type="paragraph" w:customStyle="1" w:styleId="23">
    <w:name w:val="无间隔1"/>
    <w:qFormat/>
    <w:uiPriority w:val="1"/>
    <w:pPr>
      <w:widowControl w:val="0"/>
      <w:jc w:val="both"/>
    </w:pPr>
    <w:rPr>
      <w:rFonts w:ascii="宋体" w:hAnsi="Wingdings" w:eastAsia="宋体" w:cs="Times New Roman"/>
      <w:kern w:val="2"/>
      <w:sz w:val="28"/>
      <w:szCs w:val="19"/>
      <w:lang w:val="en-US" w:eastAsia="zh-CN" w:bidi="ar-SA"/>
    </w:rPr>
  </w:style>
  <w:style w:type="paragraph" w:customStyle="1" w:styleId="24">
    <w:name w:val="封面标准英文名称"/>
    <w:basedOn w:val="25"/>
    <w:qFormat/>
    <w:uiPriority w:val="0"/>
    <w:pPr>
      <w:framePr w:wrap="around"/>
      <w:spacing w:before="370" w:line="400" w:lineRule="exact"/>
    </w:pPr>
    <w:rPr>
      <w:rFonts w:ascii="Times New Roman"/>
      <w:sz w:val="28"/>
      <w:szCs w:val="28"/>
    </w:rPr>
  </w:style>
  <w:style w:type="paragraph" w:customStyle="1" w:styleId="2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7">
    <w:name w:val="其他标准标志"/>
    <w:basedOn w:val="28"/>
    <w:qFormat/>
    <w:uiPriority w:val="0"/>
    <w:pPr>
      <w:framePr w:w="6101" w:wrap="around" w:vAnchor="page" w:hAnchor="page" w:x="4673" w:y="942"/>
    </w:pPr>
    <w:rPr>
      <w:w w:val="130"/>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2">
    <w:name w:val="封面一致性程度标识"/>
    <w:basedOn w:val="24"/>
    <w:qFormat/>
    <w:uiPriority w:val="0"/>
    <w:pPr>
      <w:framePr w:wrap="around"/>
      <w:spacing w:before="440"/>
    </w:pPr>
    <w:rPr>
      <w:rFonts w:ascii="宋体" w:eastAsia="宋体"/>
    </w:rPr>
  </w:style>
  <w:style w:type="paragraph" w:customStyle="1" w:styleId="33">
    <w:name w:val="封面标准文稿类别"/>
    <w:basedOn w:val="32"/>
    <w:qFormat/>
    <w:uiPriority w:val="0"/>
    <w:pPr>
      <w:framePr w:wrap="around"/>
      <w:spacing w:after="160" w:line="240" w:lineRule="auto"/>
    </w:pPr>
    <w:rPr>
      <w:sz w:val="24"/>
    </w:rPr>
  </w:style>
  <w:style w:type="paragraph" w:customStyle="1" w:styleId="34">
    <w:name w:val="封面标准文稿编辑信息"/>
    <w:basedOn w:val="33"/>
    <w:qFormat/>
    <w:uiPriority w:val="0"/>
    <w:pPr>
      <w:framePr w:wrap="around"/>
      <w:spacing w:before="180" w:line="180" w:lineRule="exact"/>
    </w:pPr>
    <w:rPr>
      <w:sz w:val="21"/>
    </w:rPr>
  </w:style>
  <w:style w:type="paragraph" w:customStyle="1" w:styleId="35">
    <w:name w:val="其他发布日期"/>
    <w:basedOn w:val="36"/>
    <w:qFormat/>
    <w:uiPriority w:val="0"/>
    <w:pPr>
      <w:framePr w:wrap="around" w:vAnchor="page" w:hAnchor="text" w:x="1419"/>
    </w:pPr>
  </w:style>
  <w:style w:type="paragraph" w:customStyle="1" w:styleId="3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37">
    <w:name w:val="其他实施日期"/>
    <w:basedOn w:val="38"/>
    <w:qFormat/>
    <w:uiPriority w:val="0"/>
    <w:pPr>
      <w:framePr w:wrap="around"/>
    </w:pPr>
  </w:style>
  <w:style w:type="paragraph" w:customStyle="1" w:styleId="38">
    <w:name w:val="实施日期"/>
    <w:basedOn w:val="36"/>
    <w:qFormat/>
    <w:uiPriority w:val="0"/>
    <w:pPr>
      <w:framePr w:wrap="around" w:vAnchor="page" w:hAnchor="text"/>
      <w:jc w:val="right"/>
    </w:pPr>
  </w:style>
  <w:style w:type="paragraph" w:customStyle="1" w:styleId="39">
    <w:name w:val="其他发布部门"/>
    <w:basedOn w:val="40"/>
    <w:qFormat/>
    <w:uiPriority w:val="0"/>
    <w:pPr>
      <w:framePr w:wrap="around" w:y="15310"/>
      <w:spacing w:line="0" w:lineRule="atLeast"/>
    </w:pPr>
    <w:rPr>
      <w:rFonts w:ascii="黑体" w:eastAsia="黑体"/>
      <w:b w:val="0"/>
    </w:rPr>
  </w:style>
  <w:style w:type="paragraph" w:customStyle="1" w:styleId="40">
    <w:name w:val="发布部门"/>
    <w:next w:val="4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41">
    <w:name w:val="段"/>
    <w:link w:val="6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2">
    <w:name w:val="目次、标准名称标题"/>
    <w:basedOn w:val="1"/>
    <w:next w:val="4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3">
    <w:name w:val="前言、引言标题"/>
    <w:next w:val="4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4">
    <w:name w:val="章标题"/>
    <w:next w:val="4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5">
    <w:name w:val="一级条标题"/>
    <w:next w:val="41"/>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6">
    <w:name w:val="二级条标题"/>
    <w:basedOn w:val="45"/>
    <w:next w:val="41"/>
    <w:link w:val="77"/>
    <w:qFormat/>
    <w:uiPriority w:val="0"/>
    <w:pPr>
      <w:numPr>
        <w:ilvl w:val="2"/>
      </w:numPr>
      <w:spacing w:before="50" w:after="50"/>
      <w:outlineLvl w:val="3"/>
    </w:pPr>
  </w:style>
  <w:style w:type="paragraph" w:customStyle="1" w:styleId="47">
    <w:name w:val="四级条标题"/>
    <w:basedOn w:val="48"/>
    <w:next w:val="41"/>
    <w:qFormat/>
    <w:uiPriority w:val="0"/>
    <w:pPr>
      <w:numPr>
        <w:ilvl w:val="4"/>
        <w:numId w:val="1"/>
      </w:numPr>
      <w:outlineLvl w:val="5"/>
    </w:pPr>
  </w:style>
  <w:style w:type="paragraph" w:customStyle="1" w:styleId="48">
    <w:name w:val="三级条标题"/>
    <w:basedOn w:val="46"/>
    <w:next w:val="41"/>
    <w:qFormat/>
    <w:uiPriority w:val="0"/>
    <w:pPr>
      <w:numPr>
        <w:ilvl w:val="0"/>
        <w:numId w:val="0"/>
      </w:numPr>
      <w:outlineLvl w:val="4"/>
    </w:pPr>
  </w:style>
  <w:style w:type="paragraph" w:customStyle="1" w:styleId="49">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50">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2">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53">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54">
    <w:name w:val="附录表标号"/>
    <w:basedOn w:val="1"/>
    <w:next w:val="41"/>
    <w:qFormat/>
    <w:uiPriority w:val="0"/>
    <w:pPr>
      <w:numPr>
        <w:ilvl w:val="0"/>
        <w:numId w:val="5"/>
      </w:numPr>
      <w:tabs>
        <w:tab w:val="clear" w:pos="0"/>
      </w:tabs>
      <w:spacing w:line="14" w:lineRule="exact"/>
      <w:ind w:left="811" w:hanging="448"/>
      <w:jc w:val="center"/>
      <w:outlineLvl w:val="0"/>
    </w:pPr>
    <w:rPr>
      <w:color w:val="FFFFFF"/>
    </w:rPr>
  </w:style>
  <w:style w:type="paragraph" w:customStyle="1" w:styleId="55">
    <w:name w:val="附录标识"/>
    <w:basedOn w:val="1"/>
    <w:next w:val="41"/>
    <w:qFormat/>
    <w:uiPriority w:val="0"/>
    <w:pPr>
      <w:keepNext/>
      <w:widowControl/>
      <w:numPr>
        <w:ilvl w:val="0"/>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56">
    <w:name w:val="表格文字"/>
    <w:basedOn w:val="1"/>
    <w:qFormat/>
    <w:uiPriority w:val="0"/>
    <w:pPr>
      <w:snapToGrid w:val="0"/>
      <w:spacing w:line="360" w:lineRule="exact"/>
      <w:jc w:val="center"/>
    </w:pPr>
    <w:rPr>
      <w:sz w:val="18"/>
      <w:szCs w:val="28"/>
    </w:rPr>
  </w:style>
  <w:style w:type="paragraph" w:customStyle="1" w:styleId="57">
    <w:name w:val="图表题"/>
    <w:basedOn w:val="1"/>
    <w:qFormat/>
    <w:uiPriority w:val="0"/>
    <w:pPr>
      <w:snapToGrid w:val="0"/>
      <w:spacing w:beforeLines="50" w:afterLines="50"/>
      <w:jc w:val="center"/>
    </w:pPr>
    <w:rPr>
      <w:rFonts w:eastAsia="黑体"/>
      <w:szCs w:val="28"/>
    </w:rPr>
  </w:style>
  <w:style w:type="paragraph" w:customStyle="1" w:styleId="58">
    <w:name w:val="附录章标题"/>
    <w:next w:val="41"/>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9">
    <w:name w:val="附录一级条标题"/>
    <w:basedOn w:val="58"/>
    <w:next w:val="41"/>
    <w:qFormat/>
    <w:uiPriority w:val="0"/>
    <w:pPr>
      <w:numPr>
        <w:ilvl w:val="2"/>
      </w:numPr>
      <w:autoSpaceDN w:val="0"/>
      <w:spacing w:beforeLines="50" w:afterLines="50"/>
      <w:outlineLvl w:val="2"/>
    </w:pPr>
  </w:style>
  <w:style w:type="paragraph" w:customStyle="1" w:styleId="60">
    <w:name w:val="终结线"/>
    <w:basedOn w:val="1"/>
    <w:qFormat/>
    <w:uiPriority w:val="0"/>
    <w:pPr>
      <w:framePr w:hSpace="181" w:vSpace="181" w:wrap="around" w:vAnchor="text" w:hAnchor="margin" w:xAlign="center" w:y="285"/>
    </w:pPr>
  </w:style>
  <w:style w:type="paragraph" w:customStyle="1" w:styleId="6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五级条标题"/>
    <w:basedOn w:val="47"/>
    <w:next w:val="41"/>
    <w:qFormat/>
    <w:uiPriority w:val="0"/>
    <w:pPr>
      <w:numPr>
        <w:ilvl w:val="0"/>
        <w:numId w:val="0"/>
      </w:numPr>
      <w:outlineLvl w:val="6"/>
    </w:pPr>
  </w:style>
  <w:style w:type="character" w:customStyle="1" w:styleId="65">
    <w:name w:val="段 Char"/>
    <w:basedOn w:val="16"/>
    <w:link w:val="41"/>
    <w:qFormat/>
    <w:uiPriority w:val="0"/>
    <w:rPr>
      <w:rFonts w:ascii="宋体" w:hAnsi="Times New Roman" w:eastAsia="宋体" w:cs="Times New Roman"/>
      <w:sz w:val="21"/>
    </w:rPr>
  </w:style>
  <w:style w:type="character" w:customStyle="1" w:styleId="66">
    <w:name w:val="批注框文本 字符"/>
    <w:basedOn w:val="16"/>
    <w:link w:val="9"/>
    <w:qFormat/>
    <w:uiPriority w:val="0"/>
    <w:rPr>
      <w:kern w:val="2"/>
      <w:sz w:val="18"/>
      <w:szCs w:val="18"/>
    </w:rPr>
  </w:style>
  <w:style w:type="paragraph" w:customStyle="1" w:styleId="67">
    <w:name w:val="附录二级条标题"/>
    <w:basedOn w:val="1"/>
    <w:next w:val="41"/>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68">
    <w:name w:val="附录三级条标题"/>
    <w:basedOn w:val="67"/>
    <w:next w:val="41"/>
    <w:qFormat/>
    <w:uiPriority w:val="0"/>
    <w:pPr>
      <w:outlineLvl w:val="4"/>
    </w:pPr>
  </w:style>
  <w:style w:type="paragraph" w:customStyle="1" w:styleId="69">
    <w:name w:val="附录四级条标题"/>
    <w:basedOn w:val="68"/>
    <w:next w:val="41"/>
    <w:qFormat/>
    <w:uiPriority w:val="0"/>
    <w:pPr>
      <w:outlineLvl w:val="5"/>
    </w:pPr>
  </w:style>
  <w:style w:type="paragraph" w:customStyle="1" w:styleId="70">
    <w:name w:val="附录五级条标题"/>
    <w:basedOn w:val="69"/>
    <w:next w:val="41"/>
    <w:qFormat/>
    <w:uiPriority w:val="0"/>
    <w:pPr>
      <w:outlineLvl w:val="6"/>
    </w:pPr>
  </w:style>
  <w:style w:type="table" w:customStyle="1" w:styleId="71">
    <w:name w:val="清单表 3 - 着色 31"/>
    <w:basedOn w:val="14"/>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paragraph" w:styleId="72">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73">
    <w:name w:val="font11"/>
    <w:qFormat/>
    <w:uiPriority w:val="0"/>
    <w:rPr>
      <w:rFonts w:ascii="Calibri" w:hAnsi="Calibri" w:cs="Calibri"/>
      <w:color w:val="000000"/>
      <w:sz w:val="21"/>
      <w:szCs w:val="21"/>
      <w:u w:val="none"/>
    </w:rPr>
  </w:style>
  <w:style w:type="character" w:customStyle="1" w:styleId="74">
    <w:name w:val="font21"/>
    <w:qFormat/>
    <w:uiPriority w:val="0"/>
    <w:rPr>
      <w:rFonts w:hint="eastAsia" w:ascii="宋体" w:hAnsi="宋体" w:eastAsia="宋体" w:cs="宋体"/>
      <w:color w:val="000000"/>
      <w:sz w:val="21"/>
      <w:szCs w:val="21"/>
      <w:u w:val="none"/>
    </w:rPr>
  </w:style>
  <w:style w:type="character" w:customStyle="1" w:styleId="75">
    <w:name w:val="font61"/>
    <w:basedOn w:val="16"/>
    <w:qFormat/>
    <w:uiPriority w:val="0"/>
    <w:rPr>
      <w:rFonts w:hint="eastAsia" w:ascii="仿宋" w:hAnsi="仿宋" w:eastAsia="仿宋" w:cs="仿宋"/>
      <w:b/>
      <w:bCs/>
      <w:color w:val="000000"/>
      <w:sz w:val="24"/>
      <w:szCs w:val="24"/>
      <w:u w:val="none"/>
    </w:rPr>
  </w:style>
  <w:style w:type="character" w:customStyle="1" w:styleId="76">
    <w:name w:val="font71"/>
    <w:basedOn w:val="16"/>
    <w:qFormat/>
    <w:uiPriority w:val="0"/>
    <w:rPr>
      <w:rFonts w:hint="eastAsia" w:ascii="仿宋" w:hAnsi="仿宋" w:eastAsia="仿宋" w:cs="仿宋"/>
      <w:b/>
      <w:bCs/>
      <w:color w:val="000000"/>
      <w:sz w:val="24"/>
      <w:szCs w:val="24"/>
      <w:u w:val="none"/>
    </w:rPr>
  </w:style>
  <w:style w:type="character" w:customStyle="1" w:styleId="77">
    <w:name w:val="二级条标题 Char"/>
    <w:link w:val="46"/>
    <w:qFormat/>
    <w:uiPriority w:val="0"/>
  </w:style>
  <w:style w:type="paragraph" w:customStyle="1" w:styleId="78">
    <w:name w:val="TOC 标题1"/>
    <w:basedOn w:val="2"/>
    <w:next w:val="1"/>
    <w:unhideWhenUsed/>
    <w:qFormat/>
    <w:uiPriority w:val="39"/>
    <w:pPr>
      <w:keepNext/>
      <w:keepLines/>
      <w:widowControl/>
      <w:spacing w:before="240" w:line="259" w:lineRule="auto"/>
      <w:ind w:left="0"/>
      <w:outlineLvl w:val="9"/>
    </w:pPr>
    <w:rPr>
      <w:rFonts w:asciiTheme="majorHAnsi" w:hAnsiTheme="majorHAnsi" w:eastAsiaTheme="majorEastAsia" w:cstheme="majorBidi"/>
      <w:color w:val="2E75B6" w:themeColor="accent1" w:themeShade="BF"/>
      <w:lang w:eastAsia="zh-CN"/>
    </w:rPr>
  </w:style>
  <w:style w:type="paragraph" w:customStyle="1" w:styleId="79">
    <w:name w:val="附录表标题"/>
    <w:next w:val="41"/>
    <w:qFormat/>
    <w:uiPriority w:val="0"/>
    <w:pPr>
      <w:numPr>
        <w:ilvl w:val="0"/>
        <w:numId w:val="7"/>
      </w:numPr>
      <w:jc w:val="center"/>
      <w:textAlignment w:val="baseline"/>
    </w:pPr>
    <w:rPr>
      <w:rFonts w:ascii="黑体" w:hAnsi="Times New Roman" w:eastAsia="黑体" w:cs="Times New Roman"/>
      <w:kern w:val="21"/>
      <w:sz w:val="21"/>
      <w:lang w:val="en-US" w:eastAsia="zh-CN" w:bidi="ar-SA"/>
    </w:rPr>
  </w:style>
  <w:style w:type="paragraph" w:customStyle="1" w:styleId="80">
    <w:name w:val="Table Text"/>
    <w:basedOn w:val="1"/>
    <w:semiHidden/>
    <w:qFormat/>
    <w:uiPriority w:val="0"/>
    <w:rPr>
      <w:rFonts w:ascii="宋体" w:hAnsi="宋体" w:eastAsia="宋体" w:cs="宋体"/>
      <w:sz w:val="18"/>
      <w:szCs w:val="18"/>
      <w:lang w:val="en-US" w:eastAsia="en-US" w:bidi="ar-SA"/>
    </w:rPr>
  </w:style>
  <w:style w:type="paragraph" w:customStyle="1" w:styleId="81">
    <w:name w:val="标准文件_附录标识"/>
    <w:next w:val="82"/>
    <w:qFormat/>
    <w:uiPriority w:val="0"/>
    <w:pPr>
      <w:numPr>
        <w:ilvl w:val="0"/>
        <w:numId w:val="6"/>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3">
    <w:name w:val="标准文件_附录表标题"/>
    <w:next w:val="82"/>
    <w:qFormat/>
    <w:uiPriority w:val="0"/>
    <w:pPr>
      <w:numPr>
        <w:ilvl w:val="1"/>
        <w:numId w:val="8"/>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table" w:customStyle="1" w:styleId="84">
    <w:name w:val="Table Normal11"/>
    <w:basedOn w:val="14"/>
    <w:qFormat/>
    <w:uiPriority w:val="0"/>
    <w:pPr>
      <w:spacing w:after="160" w:line="278" w:lineRule="auto"/>
    </w:pPr>
    <w:rPr>
      <w:rFonts w:ascii="Times New Roman" w:hAnsi="Times New Roman" w:eastAsia="Times New Roman"/>
    </w:rPr>
    <w:tblPr>
      <w:tblCellMar>
        <w:left w:w="0" w:type="dxa"/>
        <w:right w:w="0" w:type="dxa"/>
      </w:tblCellMar>
    </w:tblPr>
  </w:style>
  <w:style w:type="paragraph" w:customStyle="1" w:styleId="85">
    <w:name w:val="标准文件_二级条标题"/>
    <w:next w:val="82"/>
    <w:qFormat/>
    <w:uiPriority w:val="0"/>
    <w:pPr>
      <w:widowControl w:val="0"/>
      <w:numPr>
        <w:ilvl w:val="3"/>
        <w:numId w:val="9"/>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9717D6-5875-4FA3-BF7B-CCF9C4D3541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9624</Words>
  <Characters>10563</Characters>
  <Lines>55</Lines>
  <Paragraphs>15</Paragraphs>
  <TotalTime>0</TotalTime>
  <ScaleCrop>false</ScaleCrop>
  <LinksUpToDate>false</LinksUpToDate>
  <CharactersWithSpaces>11466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2023-08-01T13:26:00Z</dcterms:created>
  <dc:creator>15071457386</dc:creator>
  <cp:lastModifiedBy>贺小敏</cp:lastModifiedBy>
  <cp:lastPrinted>2021-04-02T11:58:00Z</cp:lastPrinted>
  <dcterms:modified xsi:type="dcterms:W3CDTF">2025-07-09T08:44:21Z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98081144D405484987923474ACE13038_13</vt:lpwstr>
  </property>
  <property fmtid="{D5CDD505-2E9C-101B-9397-08002B2CF9AE}" pid="4" name="KSOTemplateDocerSaveRecord">
    <vt:lpwstr>eyJoZGlkIjoiMzEwNTM5NzYwMDRjMzkwZTVkZjY2ODkwMGIxNGU0OTUiLCJ1c2VySWQiOiI0MzY5NDM5NTgifQ==</vt:lpwstr>
  </property>
</Properties>
</file>